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E4A" w:rsidRDefault="00323744">
      <w:pPr>
        <w:pStyle w:val="BodyA"/>
      </w:pPr>
      <w:bookmarkStart w:id="0" w:name="_GoBack"/>
      <w:bookmarkEnd w:id="0"/>
      <w:r>
        <w:rPr>
          <w:noProof/>
          <w:lang w:val="en-GB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7A7E0B1" wp14:editId="3E63B700">
                <wp:simplePos x="0" y="0"/>
                <wp:positionH relativeFrom="margin">
                  <wp:posOffset>-213360</wp:posOffset>
                </wp:positionH>
                <wp:positionV relativeFrom="margin">
                  <wp:posOffset>6461125</wp:posOffset>
                </wp:positionV>
                <wp:extent cx="7056120" cy="1783080"/>
                <wp:effectExtent l="0" t="0" r="11430" b="26670"/>
                <wp:wrapTopAndBottom distT="152400" distB="152400"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6120" cy="17830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FC0E4A" w:rsidRDefault="006B2BA1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Impact: (What will the outcome look like and how will we find out)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Pr="002D36C4" w:rsidRDefault="006B2BA1" w:rsidP="002D36C4">
                            <w:pPr>
                              <w:pStyle w:val="Body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Pupils can discuss th</w:t>
                            </w:r>
                            <w:r w:rsidR="002D36C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eir learning coherently using given vocabulary</w:t>
                            </w:r>
                          </w:p>
                          <w:p w:rsidR="00FC0E4A" w:rsidRPr="00323744" w:rsidRDefault="006B2BA1" w:rsidP="00323744">
                            <w:pPr>
                              <w:pStyle w:val="Body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Pupils </w:t>
                            </w:r>
                            <w:r w:rsidR="002D36C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(and staff) </w:t>
                            </w:r>
                            <w:r w:rsidR="003237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feel able to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36C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articulate clearly and coherently their personal beliefs, ideas, values and experiences while respecting the rights of others to differ</w:t>
                            </w:r>
                          </w:p>
                          <w:p w:rsidR="00FC0E4A" w:rsidRPr="00323744" w:rsidRDefault="006B2BA1" w:rsidP="00323744">
                            <w:pPr>
                              <w:pStyle w:val="Body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As children progress through the school, they develop a deep</w:t>
                            </w:r>
                            <w:r w:rsidR="003237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ening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knowledge, understanding and appreciation of </w:t>
                            </w:r>
                            <w:r w:rsidR="00623CC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religious</w:t>
                            </w:r>
                            <w:r w:rsidR="003237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non-religious beliefs and practices so they can participate positively in our society in line with the Core British Values.</w:t>
                            </w:r>
                          </w:p>
                          <w:p w:rsidR="00FC0E4A" w:rsidRDefault="006B2BA1">
                            <w:pPr>
                              <w:pStyle w:val="Body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Evidence is recorded accordingly and appropriately to the intended lesson outcome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7E0B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margin-left:-16.8pt;margin-top:508.75pt;width:555.6pt;height:140.4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O53BQIAAAoEAAAOAAAAZHJzL2Uyb0RvYy54bWysU19v2yAQf5+074B4X2ynbRJFcaquUadJ&#10;0zap6wfAGGIm4BiQ2Pn2O3CWeO3bND9g7t/v7n53bO4Ho8lR+KDA1rSalZQIy6FVdl/Tlx9PH1aU&#10;hMhsyzRYUdOTCPR++/7dpndrMYcOdCs8QRAb1r2raRejWxdF4J0wLMzACYtGCd6wiKLfF61nPaIb&#10;XczLclH04FvngYsQULsbjXSb8aUUPH6TMohIdE2xtphPn88mncV2w9Z7z1yn+LkM9g9VGKYsJr1A&#10;7Vhk5ODVGyijuIcAMs44mAKkVFzkHrCbqnzVzXPHnMi9IDnBXWgK/w+Wfz1+90S1OLtyebO8rVbz&#10;BSWWGZzVWN2DjwSan8gkJa0IHMl7Y0AWexfWCPbsEC4OH2FAxMRu0gdUJnIG6U36YzxBO87jdJmB&#10;GCLhqFyWd4tqjiaOtmq5uilXeUrFNdz5ED8JMCRdaupTaQmWHb+EiCnR9Y9LUlt4UlrnQWtLekSd&#10;L8uUgOG+Sc3G4ABatckxhQS/bx61J0eW1iZ/qRcE/sstZdmx0I1+2TQulFERt1orU9PbabS2CV3k&#10;vTzXeuUn3eLQDGfSGmhPyGWPu1nT8OvAvKBEf7Y4/DvkJC3zVPBToZkK9mAeAfuoKGGWd4ADHFu2&#10;8HCIIFXmLGUfU2KfScCFyx2fH0fa6Kmcva5PePsbAAD//wMAUEsDBBQABgAIAAAAIQD7WM0P5AAA&#10;AA4BAAAPAAAAZHJzL2Rvd25yZXYueG1sTI/BTsMwEETvlfgHa5G4tXYb2pQQp0IU1AsCETjQm2sv&#10;SURsR7HbJn/P9gS33Z3R7Jt8M9iWnbAPjXcS5jMBDJ32pnGVhM+P5+kaWIjKGdV6hxJGDLApria5&#10;yow/u3c8lbFiFOJCpiTUMXYZ50HXaFWY+Q4dad++tyrS2lfc9OpM4bblCyFW3KrG0YdadfhYo/4p&#10;j1aC/mr002582Wr7Nu5v23L/KrZLKW+uh4d7YBGH+GeGCz6hQ0FMB390JrBWwjRJVmQlQczTJbCL&#10;RaQp3Q40Le7WCfAi5/9rFL8AAAD//wMAUEsBAi0AFAAGAAgAAAAhALaDOJL+AAAA4QEAABMAAAAA&#10;AAAAAAAAAAAAAAAAAFtDb250ZW50X1R5cGVzXS54bWxQSwECLQAUAAYACAAAACEAOP0h/9YAAACU&#10;AQAACwAAAAAAAAAAAAAAAAAvAQAAX3JlbHMvLnJlbHNQSwECLQAUAAYACAAAACEA40TudwUCAAAK&#10;BAAADgAAAAAAAAAAAAAAAAAuAgAAZHJzL2Uyb0RvYy54bWxQSwECLQAUAAYACAAAACEA+1jND+QA&#10;AAAOAQAADwAAAAAAAAAAAAAAAABfBAAAZHJzL2Rvd25yZXYueG1sUEsFBgAAAAAEAAQA8wAAAHAF&#10;AAAAAA==&#10;" filled="f" strokeweight="1pt">
                <v:stroke miterlimit="4"/>
                <v:textbox inset="4pt,4pt,4pt,4pt">
                  <w:txbxContent>
                    <w:p w:rsidR="00FC0E4A" w:rsidRDefault="006B2BA1">
                      <w:pPr>
                        <w:pStyle w:val="BodyA"/>
                        <w:rPr>
                          <w:rFonts w:ascii="Comic Sans MS" w:eastAsia="Comic Sans MS" w:hAnsi="Comic Sans MS" w:cs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Impact: (What will the outcome look like and how will we find out)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Pr="002D36C4" w:rsidRDefault="006B2BA1" w:rsidP="002D36C4">
                      <w:pPr>
                        <w:pStyle w:val="Body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Pupils can discuss th</w:t>
                      </w:r>
                      <w:r w:rsidR="002D36C4">
                        <w:rPr>
                          <w:rFonts w:ascii="Comic Sans MS" w:hAnsi="Comic Sans MS"/>
                          <w:sz w:val="20"/>
                          <w:szCs w:val="20"/>
                        </w:rPr>
                        <w:t>eir learning coherently using given vocabulary</w:t>
                      </w:r>
                    </w:p>
                    <w:p w:rsidR="00FC0E4A" w:rsidRPr="00323744" w:rsidRDefault="006B2BA1" w:rsidP="00323744">
                      <w:pPr>
                        <w:pStyle w:val="Body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Pupils </w:t>
                      </w:r>
                      <w:r w:rsidR="002D36C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(and staff) </w:t>
                      </w:r>
                      <w:r w:rsidR="00323744">
                        <w:rPr>
                          <w:rFonts w:ascii="Comic Sans MS" w:hAnsi="Comic Sans MS"/>
                          <w:sz w:val="20"/>
                          <w:szCs w:val="20"/>
                        </w:rPr>
                        <w:t>feel able to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2D36C4">
                        <w:rPr>
                          <w:rFonts w:ascii="Comic Sans MS" w:hAnsi="Comic Sans MS"/>
                          <w:sz w:val="20"/>
                          <w:szCs w:val="20"/>
                        </w:rPr>
                        <w:t>articulate clearly and coherently their personal beliefs, ideas, values and experiences while respecting the rights of others to differ</w:t>
                      </w:r>
                    </w:p>
                    <w:p w:rsidR="00FC0E4A" w:rsidRPr="00323744" w:rsidRDefault="006B2BA1" w:rsidP="00323744">
                      <w:pPr>
                        <w:pStyle w:val="Body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As children progress through the school, they develop a deep</w:t>
                      </w:r>
                      <w:r w:rsidR="00323744">
                        <w:rPr>
                          <w:rFonts w:ascii="Comic Sans MS" w:hAnsi="Comic Sans MS"/>
                          <w:sz w:val="20"/>
                          <w:szCs w:val="20"/>
                        </w:rPr>
                        <w:t>ening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knowledge, understanding and appreciation of </w:t>
                      </w:r>
                      <w:r w:rsidR="00623CC1">
                        <w:rPr>
                          <w:rFonts w:ascii="Comic Sans MS" w:hAnsi="Comic Sans MS"/>
                          <w:sz w:val="20"/>
                          <w:szCs w:val="20"/>
                        </w:rPr>
                        <w:t>religious</w:t>
                      </w:r>
                      <w:r w:rsidR="003237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non-religious beliefs and practices so they can participate positively in our society in line with the Core British Values.</w:t>
                      </w:r>
                    </w:p>
                    <w:p w:rsidR="00FC0E4A" w:rsidRDefault="006B2BA1">
                      <w:pPr>
                        <w:pStyle w:val="Body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Evidence is recorded accordingly and appropriately to the intended lesson outcome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0DDEB44B" wp14:editId="33B762E2">
                <wp:simplePos x="0" y="0"/>
                <wp:positionH relativeFrom="margin">
                  <wp:align>center</wp:align>
                </wp:positionH>
                <wp:positionV relativeFrom="page">
                  <wp:posOffset>4290060</wp:posOffset>
                </wp:positionV>
                <wp:extent cx="7056120" cy="2651760"/>
                <wp:effectExtent l="0" t="0" r="11430" b="15240"/>
                <wp:wrapTopAndBottom distT="152400" distB="152400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6120" cy="26517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FC0E4A" w:rsidRDefault="006B2BA1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Implement: (How are we going to do it)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8A2C23" w:rsidRDefault="006B2BA1" w:rsidP="008A2C23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Teachers will plan a linear series of lessons which reflect on prior learning</w:t>
                            </w:r>
                          </w:p>
                          <w:p w:rsidR="00FC0E4A" w:rsidRPr="002D36C4" w:rsidRDefault="008A2C23" w:rsidP="002D36C4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We use the Gloucestershire Agreed Syllabus for RE (2017-2022) as our primary source for planning</w:t>
                            </w:r>
                          </w:p>
                          <w:p w:rsidR="00FC0E4A" w:rsidRPr="002D36C4" w:rsidRDefault="006B2BA1" w:rsidP="002D36C4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Curriculum vocabulary is clearly listed on planning and modelled consistently by all staff to pupils during lesson time</w:t>
                            </w:r>
                          </w:p>
                          <w:p w:rsidR="00FC0E4A" w:rsidRPr="002D36C4" w:rsidRDefault="006B2BA1" w:rsidP="002D36C4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Elicit what pupils would like to know at the start of each unit and map out what they would like to learn</w:t>
                            </w:r>
                          </w:p>
                          <w:p w:rsidR="00FC0E4A" w:rsidRPr="002D36C4" w:rsidRDefault="009F2B7D" w:rsidP="0078266F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local area is utlilised for</w:t>
                            </w:r>
                            <w:r w:rsidR="006B2BA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‘outdoor learning’ opportunities to expand </w:t>
                            </w:r>
                            <w:r w:rsidR="00FB7B3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and develop pupils’ spirituality and sense of self.</w:t>
                            </w:r>
                          </w:p>
                          <w:p w:rsidR="00FC0E4A" w:rsidRDefault="0078266F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Use a range of primary and secondary resources and experiences to enhance pupils’ learning</w:t>
                            </w:r>
                          </w:p>
                          <w:p w:rsidR="00FC0E4A" w:rsidRPr="002D36C4" w:rsidRDefault="0078266F" w:rsidP="002D36C4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Maximise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opportunities for R</w:t>
                            </w:r>
                            <w:r w:rsidR="002260E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&amp;W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 in school e.g. discussion of current affairs (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Newsround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), multi-faith and non-religious assemblies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etc</w:t>
                            </w:r>
                            <w:proofErr w:type="spellEnd"/>
                          </w:p>
                          <w:p w:rsidR="00FC0E4A" w:rsidRDefault="008A2C23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Staff ensure the 3</w:t>
                            </w:r>
                            <w:r w:rsidR="006B2BA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strands of the </w:t>
                            </w:r>
                            <w:r w:rsidR="0078266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Agreed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Syllabus</w:t>
                            </w:r>
                            <w:r w:rsidR="006B2BA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are embedded in planning </w:t>
                            </w:r>
                            <w:r w:rsidR="00FB7B3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–</w:t>
                            </w:r>
                            <w:r w:rsidR="006B2BA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7B3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Making Sense of Beliefs, Understanding the Impact and Making Connections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EB44B" id="_x0000_s1027" type="#_x0000_t202" alt="officeArt object" style="position:absolute;margin-left:0;margin-top:337.8pt;width:555.6pt;height:208.8pt;z-index:251661312;visibility:visible;mso-wrap-style:square;mso-width-percent:0;mso-height-percent:0;mso-wrap-distance-left:12pt;mso-wrap-distance-top:12pt;mso-wrap-distance-right:12pt;mso-wrap-distance-bottom:12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r/CQIAABEEAAAOAAAAZHJzL2Uyb0RvYy54bWysU9uO0zAQfUfiHyy/01zYNlXVdLVstQgJ&#10;AdLCBziO3RjZnmC7Tfr3jJ1uG9g3RB6cjGfmzJwzk+39aDQ5CecV2JoWi5wSYTm0yh5q+uP707s1&#10;JT4w2zINVtT0LDy93719sx36jSihA90KRxDE+s3Q17QLod9kmeedMMwvoBcWnRKcYQFNd8haxwZE&#10;Nzor83yVDeDa3gEX3uPtfnLSXcKXUvDwVUovAtE1xd5COl06m3hmuy3bHBzrO8UvbbB/6MIwZbHo&#10;FWrPAiNHp15BGcUdeJBhwcFkIKXiInFANkX+F5vnjvUicUFxfH+Vyf8/WP7l9M0R1eLs8up9dVes&#10;y4oSywzOauruwQUCzU9UkpJWeI7ivXKgikPvNwj23CNcGD/AiIhR3Xjv8TKKM0pn4hvzCfpxHufr&#10;DMQYCMfLKl+uihJdHH3lallUqzSl7JbeOx8+CjAkftTUxdYiLDt99gFLYuhLSLy28KS0ToPWlgzY&#10;V1nlsQDDfZOaTcketGpjYEzx7tA8akdOLK5NeiIXBP4jLFbZM99Ncck1LZRRAbdaK1PTu3m2thFd&#10;pL289HrTJ36FsRmnabxo10B7RkkHXNGa+l9H5gQl+pPFHVjm68gjzA03N5q5YY/mEZBOQQmzvAOc&#10;48TcwsMxgFRJutjEVBLpRgP3LhG//CNxsed2irr9ybvfAAAA//8DAFBLAwQUAAYACAAAACEA2Zfv&#10;6eAAAAAKAQAADwAAAGRycy9kb3ducmV2LnhtbEyPwU7DMBBE70j8g7VI3KhNoCmEOBWiIC4ViJQD&#10;vbm2SSLsdRS7bfL3bE+wp13NaPZNuRy9Ywc7xC6ghOuZAGZRB9NhI+Fz83J1BywmhUa5gFbCZCMs&#10;q/OzUhUmHPHDHurUMArBWCgJbUp9wXnUrfUqzkJvkbTvMHiV6BwabgZ1pHDveCZEzr3qkD60qrdP&#10;rdU/9d5L0F+dfn6d1ivt36ftrau3b2I1l/LyYnx8AJbsmP7McMIndKiIaRf2aCJzEqhIkpAv5jmw&#10;k0yTAdvRJu5vMuBVyf9XqH4BAAD//wMAUEsBAi0AFAAGAAgAAAAhALaDOJL+AAAA4QEAABMAAAAA&#10;AAAAAAAAAAAAAAAAAFtDb250ZW50X1R5cGVzXS54bWxQSwECLQAUAAYACAAAACEAOP0h/9YAAACU&#10;AQAACwAAAAAAAAAAAAAAAAAvAQAAX3JlbHMvLnJlbHNQSwECLQAUAAYACAAAACEAqY8a/wkCAAAR&#10;BAAADgAAAAAAAAAAAAAAAAAuAgAAZHJzL2Uyb0RvYy54bWxQSwECLQAUAAYACAAAACEA2Zfv6eAA&#10;AAAKAQAADwAAAAAAAAAAAAAAAABjBAAAZHJzL2Rvd25yZXYueG1sUEsFBgAAAAAEAAQA8wAAAHAF&#10;AAAAAA==&#10;" filled="f" strokeweight="1pt">
                <v:stroke miterlimit="4"/>
                <v:textbox inset="4pt,4pt,4pt,4pt">
                  <w:txbxContent>
                    <w:p w:rsidR="00FC0E4A" w:rsidRDefault="006B2BA1">
                      <w:pPr>
                        <w:pStyle w:val="BodyA"/>
                        <w:rPr>
                          <w:rFonts w:ascii="Comic Sans MS" w:eastAsia="Comic Sans MS" w:hAnsi="Comic Sans MS" w:cs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Implement: (How are we going to do it)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8A2C23" w:rsidRDefault="006B2BA1" w:rsidP="008A2C23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Teachers will plan a linear series of lessons which reflect on prior learning</w:t>
                      </w:r>
                    </w:p>
                    <w:p w:rsidR="00FC0E4A" w:rsidRPr="002D36C4" w:rsidRDefault="008A2C23" w:rsidP="002D36C4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We use the Gloucestershire Agreed Syllabus for RE (2017-2022) as our primary source for planning</w:t>
                      </w:r>
                    </w:p>
                    <w:p w:rsidR="00FC0E4A" w:rsidRPr="002D36C4" w:rsidRDefault="006B2BA1" w:rsidP="002D36C4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Curriculum vocabulary is clearly listed on planning and modelled consistently by all staff to pupils during lesson time</w:t>
                      </w:r>
                    </w:p>
                    <w:p w:rsidR="00FC0E4A" w:rsidRPr="002D36C4" w:rsidRDefault="006B2BA1" w:rsidP="002D36C4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Elicit what pupils would like to know at the start of each unit and map out what they would like to learn</w:t>
                      </w:r>
                    </w:p>
                    <w:p w:rsidR="00FC0E4A" w:rsidRPr="002D36C4" w:rsidRDefault="009F2B7D" w:rsidP="0078266F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The local area is utlilised for</w:t>
                      </w:r>
                      <w:r w:rsidR="006B2BA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‘outdoor learning’ opportunities to expand </w:t>
                      </w:r>
                      <w:r w:rsidR="00FB7B3F">
                        <w:rPr>
                          <w:rFonts w:ascii="Comic Sans MS" w:hAnsi="Comic Sans MS"/>
                          <w:sz w:val="20"/>
                          <w:szCs w:val="20"/>
                        </w:rPr>
                        <w:t>and develop pupils’ spirituality and sense of self.</w:t>
                      </w:r>
                    </w:p>
                    <w:p w:rsidR="00FC0E4A" w:rsidRDefault="0078266F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Use a range of primary and secondary resources and experiences to enhance pupils’ learning</w:t>
                      </w:r>
                    </w:p>
                    <w:p w:rsidR="00FC0E4A" w:rsidRPr="002D36C4" w:rsidRDefault="0078266F" w:rsidP="002D36C4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Maximise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opportunities for R</w:t>
                      </w:r>
                      <w:r w:rsidR="002260EA">
                        <w:rPr>
                          <w:rFonts w:ascii="Comic Sans MS" w:hAnsi="Comic Sans MS"/>
                          <w:sz w:val="20"/>
                          <w:szCs w:val="20"/>
                        </w:rPr>
                        <w:t>&amp;W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 in school e.g. discussion of current affairs (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Newsround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), multi-faith and non-religious assemblies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etc</w:t>
                      </w:r>
                      <w:proofErr w:type="spellEnd"/>
                    </w:p>
                    <w:p w:rsidR="00FC0E4A" w:rsidRDefault="008A2C23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Staff ensure the 3</w:t>
                      </w:r>
                      <w:r w:rsidR="006B2BA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strands of the </w:t>
                      </w:r>
                      <w:r w:rsidR="0078266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Agreed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Syllabus</w:t>
                      </w:r>
                      <w:r w:rsidR="006B2BA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are embedded in planning </w:t>
                      </w:r>
                      <w:r w:rsidR="00FB7B3F">
                        <w:rPr>
                          <w:rFonts w:ascii="Comic Sans MS" w:hAnsi="Comic Sans MS"/>
                          <w:sz w:val="20"/>
                          <w:szCs w:val="20"/>
                        </w:rPr>
                        <w:t>–</w:t>
                      </w:r>
                      <w:r w:rsidR="006B2BA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FB7B3F">
                        <w:rPr>
                          <w:rFonts w:ascii="Comic Sans MS" w:hAnsi="Comic Sans MS"/>
                          <w:sz w:val="20"/>
                          <w:szCs w:val="20"/>
                        </w:rPr>
                        <w:t>Making Sense of Beliefs, Understanding the Impact and Making Connections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1D595670" wp14:editId="0755D478">
                <wp:simplePos x="0" y="0"/>
                <wp:positionH relativeFrom="margin">
                  <wp:posOffset>-205740</wp:posOffset>
                </wp:positionH>
                <wp:positionV relativeFrom="page">
                  <wp:posOffset>982980</wp:posOffset>
                </wp:positionV>
                <wp:extent cx="7063740" cy="3177540"/>
                <wp:effectExtent l="0" t="0" r="22860" b="22860"/>
                <wp:wrapTopAndBottom distT="152400" distB="152400"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3740" cy="3177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FC0E4A" w:rsidRDefault="006B2BA1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Intent: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(What do we want our </w:t>
                            </w:r>
                            <w:r w:rsidR="00AA4D2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learners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to know)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2260E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Through our R&amp;WE</w:t>
                            </w:r>
                            <w:r w:rsidR="006B2BA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curri</w:t>
                            </w:r>
                            <w:r w:rsidR="008A2C2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culum we aim to ins</w:t>
                            </w:r>
                            <w:r w:rsidR="00085EB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pire </w:t>
                            </w:r>
                            <w:r w:rsidR="008A2C2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="00085EB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</w:t>
                            </w:r>
                            <w:r w:rsidR="006B2BA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upils </w:t>
                            </w:r>
                            <w:r w:rsidR="00085EB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</w:t>
                            </w:r>
                            <w:r w:rsidR="006B2BA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be curious </w:t>
                            </w:r>
                            <w:r w:rsidR="00F04CD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about </w:t>
                            </w:r>
                            <w:r w:rsidR="006B2BA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and question the world around them. </w:t>
                            </w:r>
                            <w:r w:rsidR="00F04CD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</w:t>
                            </w:r>
                            <w:r w:rsidR="006B2BA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upils are exposed to various </w:t>
                            </w:r>
                            <w:r w:rsidR="00F04CD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religions and beliefs in local</w:t>
                            </w:r>
                            <w:r w:rsidR="00085EB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</w:t>
                            </w:r>
                            <w:r w:rsidR="00F04CD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national</w:t>
                            </w:r>
                            <w:r w:rsidR="00085EB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global contexts; provoking challenging questions about meaning and purpose in life, beliefs about God, ultimate reality, issues of right and wrong and what it means to be human. 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6B2BA1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Through high quality teaching, planning and subject know</w:t>
                            </w:r>
                            <w:r w:rsidR="00F04CD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ledge, we </w:t>
                            </w:r>
                            <w:r w:rsidR="0099181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enable</w:t>
                            </w:r>
                            <w:r w:rsidR="00F04CD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pupils </w:t>
                            </w:r>
                            <w:r w:rsidR="00085EB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 develop their own ideas</w:t>
                            </w:r>
                            <w:r w:rsidR="0099181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values and identities through the following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Pr="002D36C4" w:rsidRDefault="006B2BA1" w:rsidP="002D36C4">
                            <w:pPr>
                              <w:pStyle w:val="Body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 expansive knowledge</w:t>
                            </w:r>
                            <w:r w:rsidR="00FB7B3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understanding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="0099181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religious vocabulary</w:t>
                            </w:r>
                          </w:p>
                          <w:p w:rsidR="007E08EA" w:rsidRPr="002D36C4" w:rsidRDefault="00991810" w:rsidP="002D36C4">
                            <w:pPr>
                              <w:pStyle w:val="Body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</w:t>
                            </w:r>
                            <w:r w:rsidR="006B2BA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o </w:t>
                            </w:r>
                            <w:proofErr w:type="spellStart"/>
                            <w:r w:rsidR="006B2BA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recognise</w:t>
                            </w:r>
                            <w:proofErr w:type="spellEnd"/>
                            <w:r w:rsidR="006B2BA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7B3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and describe core religious </w:t>
                            </w:r>
                            <w:r w:rsidR="0078266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(and non-religious) </w:t>
                            </w:r>
                            <w:r w:rsidR="00FB7B3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beliefs</w:t>
                            </w:r>
                            <w:r w:rsidR="009F2B7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concepts</w:t>
                            </w:r>
                            <w:r w:rsidR="00FB7B3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practices </w:t>
                            </w:r>
                            <w:r w:rsidR="006B2BA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with progressive difficult</w:t>
                            </w:r>
                            <w:r w:rsidR="002D36C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  <w:p w:rsidR="00FC0E4A" w:rsidRPr="002D36C4" w:rsidRDefault="007E08EA" w:rsidP="002D36C4">
                            <w:pPr>
                              <w:pStyle w:val="Body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 understanding of the impact that beliefs and practices have on believers’ everyday lives, within communities and in the wider world</w:t>
                            </w:r>
                          </w:p>
                          <w:p w:rsidR="00FC0E4A" w:rsidRDefault="006B2BA1">
                            <w:pPr>
                              <w:pStyle w:val="Body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7E08E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develop skills to </w:t>
                            </w:r>
                            <w:r w:rsidR="009F2B7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evaluate, reflect on, challenge, question and connect beliefs and practices studied; discerning possible connections between these and pupils’ own lives and understanding of the wider world</w:t>
                            </w:r>
                          </w:p>
                          <w:p w:rsidR="00323744" w:rsidRDefault="00323744" w:rsidP="00323744">
                            <w:pPr>
                              <w:pStyle w:val="BodyA"/>
                              <w:ind w:left="18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95670" id="_x0000_s1028" type="#_x0000_t202" alt="officeArt object" style="position:absolute;margin-left:-16.2pt;margin-top:77.4pt;width:556.2pt;height:250.2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Hi/BgIAABEEAAAOAAAAZHJzL2Uyb0RvYy54bWysU11v2yAUfZ+0/4B4X+ykTR1ZcaquUadJ&#10;01ap2w/AGGIm4DIgsfPvd8Fpkq1v0/yAuR8czj33sr4fjSYH4YMC29D5rKREWA6dsruG/vj+9GFF&#10;SYjMdkyDFQ09ikDvN+/frQdXiwX0oDvhCYLYUA+uoX2Mri6KwHthWJiBExaDErxhEU2/KzrPBkQ3&#10;uliU5V0xgO+cBy5CQO92CtJNxpdS8PhNyiAi0Q1FbjGvPq9tWovNmtU7z1yv+IkG+wcWhimLl56h&#10;tiwysvfqDZRR3EMAGWccTAFSKi5yDVjNvPyrmpeeOZFrQXGCO8sU/h8s/3p49kR12Luyuqlu56vF&#10;khLLDPZqYvfgI4H2JypJSScCR/HeBFDFwYUawV4cwsXxI4yImNRN/oDOJM4ovUl/PE8wjv04nnsg&#10;xkg4OqvyDmlgiGPsZl5VSzQQp7gcdz7ETwIMSZuG+kQtwbLDlxCn1NeU5LbwpLRGP6u1JQPyWlRl&#10;uoDhvEnNpsMBtOpSYsoLftc+ak8OLI1N/k4c/khLt2xZ6Ke8HJoGyqiIU62Vaejt9WltE7rIc3ni&#10;etEn7eLYjrkbi1ftWuiOKOmAI9rQ8GvPvKBEf7Y4A8tyleqI14a/Ntprw+7NI2A5c0qY5T1gH6fK&#10;LTzsI0iVpUskpitR8mTg3GXxT28kDfa1nbMuL3nzGwAA//8DAFBLAwQUAAYACAAAACEAVZDD1uEA&#10;AAAMAQAADwAAAGRycy9kb3ducmV2LnhtbEyPy07DMBBF90j8gzVI7FqbkFRViFMhCmKDQAQWdOfa&#10;QxLhRxS7bfL3TFewHN2rO+dUm8lZdsQx9sFLuFkKYOh1ML1vJXx+PC3WwGJS3igbPEqYMcKmvryo&#10;VGnCyb/jsUktoxEfSyWhS2koOY+6Q6fiMgzoKfsOo1OJzrHlZlQnGneWZ0KsuFO9pw+dGvChQ/3T&#10;HJwE/dXrx+f5Zavd27zLbbN7FdtCyuur6f4OWMIp/ZXhjE/oUBPTPhy8icxKWNxmOVUpKHJyODfE&#10;WpDeXsKqKDLgdcX/S9S/AAAA//8DAFBLAQItABQABgAIAAAAIQC2gziS/gAAAOEBAAATAAAAAAAA&#10;AAAAAAAAAAAAAABbQ29udGVudF9UeXBlc10ueG1sUEsBAi0AFAAGAAgAAAAhADj9If/WAAAAlAEA&#10;AAsAAAAAAAAAAAAAAAAALwEAAF9yZWxzLy5yZWxzUEsBAi0AFAAGAAgAAAAhAMx0eL8GAgAAEQQA&#10;AA4AAAAAAAAAAAAAAAAALgIAAGRycy9lMm9Eb2MueG1sUEsBAi0AFAAGAAgAAAAhAFWQw9bhAAAA&#10;DAEAAA8AAAAAAAAAAAAAAAAAYAQAAGRycy9kb3ducmV2LnhtbFBLBQYAAAAABAAEAPMAAABuBQAA&#10;AAA=&#10;" filled="f" strokeweight="1pt">
                <v:stroke miterlimit="4"/>
                <v:textbox inset="4pt,4pt,4pt,4pt">
                  <w:txbxContent>
                    <w:p w:rsidR="00FC0E4A" w:rsidRDefault="006B2BA1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Intent: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(What do we want our </w:t>
                      </w:r>
                      <w:r w:rsidR="00AA4D2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learners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to know)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2260E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Through our R&amp;WE</w:t>
                      </w:r>
                      <w:r w:rsidR="006B2BA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curri</w:t>
                      </w:r>
                      <w:r w:rsidR="008A2C23">
                        <w:rPr>
                          <w:rFonts w:ascii="Comic Sans MS" w:hAnsi="Comic Sans MS"/>
                          <w:sz w:val="20"/>
                          <w:szCs w:val="20"/>
                        </w:rPr>
                        <w:t>culum we aim to ins</w:t>
                      </w:r>
                      <w:r w:rsidR="00085EB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pire </w:t>
                      </w:r>
                      <w:r w:rsidR="008A2C2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our </w:t>
                      </w:r>
                      <w:r w:rsidR="00085EB0">
                        <w:rPr>
                          <w:rFonts w:ascii="Comic Sans MS" w:hAnsi="Comic Sans MS"/>
                          <w:sz w:val="20"/>
                          <w:szCs w:val="20"/>
                        </w:rPr>
                        <w:t>p</w:t>
                      </w:r>
                      <w:r w:rsidR="006B2BA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upils </w:t>
                      </w:r>
                      <w:r w:rsidR="00085EB0">
                        <w:rPr>
                          <w:rFonts w:ascii="Comic Sans MS" w:hAnsi="Comic Sans MS"/>
                          <w:sz w:val="20"/>
                          <w:szCs w:val="20"/>
                        </w:rPr>
                        <w:t>to</w:t>
                      </w:r>
                      <w:r w:rsidR="006B2BA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be curious </w:t>
                      </w:r>
                      <w:r w:rsidR="00F04CD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about </w:t>
                      </w:r>
                      <w:r w:rsidR="006B2BA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and question the world around them. </w:t>
                      </w:r>
                      <w:r w:rsidR="00F04CDD">
                        <w:rPr>
                          <w:rFonts w:ascii="Comic Sans MS" w:hAnsi="Comic Sans MS"/>
                          <w:sz w:val="20"/>
                          <w:szCs w:val="20"/>
                        </w:rPr>
                        <w:t>P</w:t>
                      </w:r>
                      <w:r w:rsidR="006B2BA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upils are exposed to various </w:t>
                      </w:r>
                      <w:r w:rsidR="00F04CDD">
                        <w:rPr>
                          <w:rFonts w:ascii="Comic Sans MS" w:hAnsi="Comic Sans MS"/>
                          <w:sz w:val="20"/>
                          <w:szCs w:val="20"/>
                        </w:rPr>
                        <w:t>religions and beliefs in local</w:t>
                      </w:r>
                      <w:r w:rsidR="00085EB0">
                        <w:rPr>
                          <w:rFonts w:ascii="Comic Sans MS" w:hAnsi="Comic Sans MS"/>
                          <w:sz w:val="20"/>
                          <w:szCs w:val="20"/>
                        </w:rPr>
                        <w:t>,</w:t>
                      </w:r>
                      <w:r w:rsidR="00F04CD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national</w:t>
                      </w:r>
                      <w:r w:rsidR="00085EB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global contexts; provoking challenging questions about meaning and purpose in life, beliefs about God, ultimate reality, issues of right and wrong and what it means to be human. 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6B2BA1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Through high quality teaching, planning and subject know</w:t>
                      </w:r>
                      <w:r w:rsidR="00F04CD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ledge, we </w:t>
                      </w:r>
                      <w:r w:rsidR="00991810">
                        <w:rPr>
                          <w:rFonts w:ascii="Comic Sans MS" w:hAnsi="Comic Sans MS"/>
                          <w:sz w:val="20"/>
                          <w:szCs w:val="20"/>
                        </w:rPr>
                        <w:t>enable</w:t>
                      </w:r>
                      <w:r w:rsidR="00F04CD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pupils </w:t>
                      </w:r>
                      <w:r w:rsidR="00085EB0">
                        <w:rPr>
                          <w:rFonts w:ascii="Comic Sans MS" w:hAnsi="Comic Sans MS"/>
                          <w:sz w:val="20"/>
                          <w:szCs w:val="20"/>
                        </w:rPr>
                        <w:t>to develop their own ideas</w:t>
                      </w:r>
                      <w:r w:rsidR="00991810">
                        <w:rPr>
                          <w:rFonts w:ascii="Comic Sans MS" w:hAnsi="Comic Sans MS"/>
                          <w:sz w:val="20"/>
                          <w:szCs w:val="20"/>
                        </w:rPr>
                        <w:t>, values and identities through the following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: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Pr="002D36C4" w:rsidRDefault="006B2BA1" w:rsidP="002D36C4">
                      <w:pPr>
                        <w:pStyle w:val="Body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An expansive knowledge</w:t>
                      </w:r>
                      <w:r w:rsidR="00FB7B3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understanding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of </w:t>
                      </w:r>
                      <w:r w:rsidR="00991810">
                        <w:rPr>
                          <w:rFonts w:ascii="Comic Sans MS" w:hAnsi="Comic Sans MS"/>
                          <w:sz w:val="20"/>
                          <w:szCs w:val="20"/>
                        </w:rPr>
                        <w:t>religious vocabulary</w:t>
                      </w:r>
                    </w:p>
                    <w:p w:rsidR="007E08EA" w:rsidRPr="002D36C4" w:rsidRDefault="00991810" w:rsidP="002D36C4">
                      <w:pPr>
                        <w:pStyle w:val="Body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</w:t>
                      </w:r>
                      <w:r w:rsidR="006B2BA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o </w:t>
                      </w:r>
                      <w:proofErr w:type="spellStart"/>
                      <w:r w:rsidR="006B2BA1">
                        <w:rPr>
                          <w:rFonts w:ascii="Comic Sans MS" w:hAnsi="Comic Sans MS"/>
                          <w:sz w:val="20"/>
                          <w:szCs w:val="20"/>
                        </w:rPr>
                        <w:t>recognise</w:t>
                      </w:r>
                      <w:proofErr w:type="spellEnd"/>
                      <w:r w:rsidR="006B2BA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FB7B3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and describe core religious </w:t>
                      </w:r>
                      <w:r w:rsidR="0078266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(and non-religious) </w:t>
                      </w:r>
                      <w:r w:rsidR="00FB7B3F">
                        <w:rPr>
                          <w:rFonts w:ascii="Comic Sans MS" w:hAnsi="Comic Sans MS"/>
                          <w:sz w:val="20"/>
                          <w:szCs w:val="20"/>
                        </w:rPr>
                        <w:t>beliefs</w:t>
                      </w:r>
                      <w:r w:rsidR="009F2B7D">
                        <w:rPr>
                          <w:rFonts w:ascii="Comic Sans MS" w:hAnsi="Comic Sans MS"/>
                          <w:sz w:val="20"/>
                          <w:szCs w:val="20"/>
                        </w:rPr>
                        <w:t>, concepts</w:t>
                      </w:r>
                      <w:r w:rsidR="00FB7B3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practices </w:t>
                      </w:r>
                      <w:r w:rsidR="006B2BA1">
                        <w:rPr>
                          <w:rFonts w:ascii="Comic Sans MS" w:hAnsi="Comic Sans MS"/>
                          <w:sz w:val="20"/>
                          <w:szCs w:val="20"/>
                        </w:rPr>
                        <w:t>with progressive difficult</w:t>
                      </w:r>
                      <w:r w:rsidR="002D36C4">
                        <w:rPr>
                          <w:rFonts w:ascii="Comic Sans MS" w:hAnsi="Comic Sans MS"/>
                          <w:sz w:val="20"/>
                          <w:szCs w:val="20"/>
                        </w:rPr>
                        <w:t>y</w:t>
                      </w:r>
                    </w:p>
                    <w:p w:rsidR="00FC0E4A" w:rsidRPr="002D36C4" w:rsidRDefault="007E08EA" w:rsidP="002D36C4">
                      <w:pPr>
                        <w:pStyle w:val="Body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An understanding of the impact that beliefs and practices have on believers’ everyday lives, within communities and in the wider world</w:t>
                      </w:r>
                    </w:p>
                    <w:p w:rsidR="00FC0E4A" w:rsidRDefault="006B2BA1">
                      <w:pPr>
                        <w:pStyle w:val="Body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To </w:t>
                      </w:r>
                      <w:r w:rsidR="007E08E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develop skills to </w:t>
                      </w:r>
                      <w:r w:rsidR="009F2B7D">
                        <w:rPr>
                          <w:rFonts w:ascii="Comic Sans MS" w:hAnsi="Comic Sans MS"/>
                          <w:sz w:val="20"/>
                          <w:szCs w:val="20"/>
                        </w:rPr>
                        <w:t>evaluate, reflect on, challenge, question and connect beliefs and practices studied; discerning possible connections between these and pupils’ own lives and understanding of the wider world</w:t>
                      </w:r>
                    </w:p>
                    <w:p w:rsidR="00323744" w:rsidRDefault="00323744" w:rsidP="00323744">
                      <w:pPr>
                        <w:pStyle w:val="BodyA"/>
                        <w:ind w:left="18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7E08EA">
        <w:rPr>
          <w:noProof/>
          <w:lang w:val="en-GB"/>
        </w:rPr>
        <w:drawing>
          <wp:anchor distT="57150" distB="57150" distL="57150" distR="57150" simplePos="0" relativeHeight="251662336" behindDoc="0" locked="0" layoutInCell="1" allowOverlap="1" wp14:anchorId="6A3FBCE9" wp14:editId="2A3F2816">
            <wp:simplePos x="0" y="0"/>
            <wp:positionH relativeFrom="page">
              <wp:posOffset>3531870</wp:posOffset>
            </wp:positionH>
            <wp:positionV relativeFrom="page">
              <wp:posOffset>151130</wp:posOffset>
            </wp:positionV>
            <wp:extent cx="757556" cy="644525"/>
            <wp:effectExtent l="0" t="0" r="0" b="0"/>
            <wp:wrapSquare wrapText="bothSides" distT="57150" distB="57150" distL="57150" distR="57150"/>
            <wp:docPr id="1073741828" name="officeArt object" descr="DW_Logo_white_redhea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DW_Logo_white_redheader" descr="DW_Logo_white_redheader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6" cy="644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B2BA1">
        <w:rPr>
          <w:rFonts w:ascii="Comic Sans MS" w:hAnsi="Comic Sans MS"/>
          <w:b/>
          <w:bCs/>
        </w:rPr>
        <w:t xml:space="preserve">Subject: </w:t>
      </w:r>
      <w:r w:rsidR="008819A7">
        <w:rPr>
          <w:rFonts w:ascii="Comic Sans MS" w:hAnsi="Comic Sans MS"/>
          <w:b/>
          <w:bCs/>
        </w:rPr>
        <w:t>Religions &amp; Worldviews</w:t>
      </w:r>
      <w:r w:rsidR="008A2C23">
        <w:rPr>
          <w:rFonts w:ascii="Comic Sans MS" w:hAnsi="Comic Sans MS"/>
          <w:b/>
          <w:bCs/>
        </w:rPr>
        <w:t xml:space="preserve"> Education</w:t>
      </w:r>
    </w:p>
    <w:sectPr w:rsidR="00FC0E4A" w:rsidSect="002D36C4">
      <w:headerReference w:type="default" r:id="rId8"/>
      <w:footerReference w:type="default" r:id="rId9"/>
      <w:pgSz w:w="11900" w:h="16840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6C4" w:rsidRDefault="00DA06C4">
      <w:r>
        <w:separator/>
      </w:r>
    </w:p>
  </w:endnote>
  <w:endnote w:type="continuationSeparator" w:id="0">
    <w:p w:rsidR="00DA06C4" w:rsidRDefault="00DA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E4A" w:rsidRDefault="00FC0E4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6C4" w:rsidRDefault="00DA06C4">
      <w:r>
        <w:separator/>
      </w:r>
    </w:p>
  </w:footnote>
  <w:footnote w:type="continuationSeparator" w:id="0">
    <w:p w:rsidR="00DA06C4" w:rsidRDefault="00DA0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E4A" w:rsidRDefault="00FC0E4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F67D0"/>
    <w:multiLevelType w:val="hybridMultilevel"/>
    <w:tmpl w:val="AF5E370C"/>
    <w:lvl w:ilvl="0" w:tplc="175A1AD8">
      <w:start w:val="1"/>
      <w:numFmt w:val="bullet"/>
      <w:lvlText w:val="•"/>
      <w:lvlJc w:val="left"/>
      <w:pPr>
        <w:ind w:left="1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06E184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4A4884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80347A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A45F4C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96F540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D8A800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E22506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EAA368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533620F"/>
    <w:multiLevelType w:val="hybridMultilevel"/>
    <w:tmpl w:val="3F587814"/>
    <w:lvl w:ilvl="0" w:tplc="22265660">
      <w:start w:val="1"/>
      <w:numFmt w:val="bullet"/>
      <w:lvlText w:val="•"/>
      <w:lvlJc w:val="left"/>
      <w:pPr>
        <w:ind w:left="1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E15C4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42FC9E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04E300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0619FC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2E1256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52BE3C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B2563A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48292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1706C63"/>
    <w:multiLevelType w:val="hybridMultilevel"/>
    <w:tmpl w:val="C3F6418A"/>
    <w:lvl w:ilvl="0" w:tplc="CEA66B42">
      <w:start w:val="1"/>
      <w:numFmt w:val="bullet"/>
      <w:lvlText w:val="•"/>
      <w:lvlJc w:val="left"/>
      <w:pPr>
        <w:ind w:left="1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2E85AE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9E5842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B6A8F8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6E6676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8A9428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D0F368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BCFAA2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4EB9BC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615796B"/>
    <w:multiLevelType w:val="hybridMultilevel"/>
    <w:tmpl w:val="901E48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4A"/>
    <w:rsid w:val="00085EB0"/>
    <w:rsid w:val="00202CDE"/>
    <w:rsid w:val="002260EA"/>
    <w:rsid w:val="002D36C4"/>
    <w:rsid w:val="00323744"/>
    <w:rsid w:val="00476FB8"/>
    <w:rsid w:val="00623CC1"/>
    <w:rsid w:val="0067589C"/>
    <w:rsid w:val="006B2BA1"/>
    <w:rsid w:val="006E0F52"/>
    <w:rsid w:val="00773B81"/>
    <w:rsid w:val="0078266F"/>
    <w:rsid w:val="007D3B20"/>
    <w:rsid w:val="007E08EA"/>
    <w:rsid w:val="008819A7"/>
    <w:rsid w:val="008A2C23"/>
    <w:rsid w:val="00991810"/>
    <w:rsid w:val="009F2B7D"/>
    <w:rsid w:val="00AA4D2D"/>
    <w:rsid w:val="00AB2CA0"/>
    <w:rsid w:val="00D879F0"/>
    <w:rsid w:val="00DA06C4"/>
    <w:rsid w:val="00EE0BB8"/>
    <w:rsid w:val="00F04CDD"/>
    <w:rsid w:val="00F27E98"/>
    <w:rsid w:val="00FA209F"/>
    <w:rsid w:val="00FB7B3F"/>
    <w:rsid w:val="00FC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C452FC-438D-4A6B-AEF1-5D608705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basedOn w:val="Normal"/>
    <w:uiPriority w:val="34"/>
    <w:qFormat/>
    <w:rsid w:val="007E0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</dc:creator>
  <cp:lastModifiedBy>Hazell</cp:lastModifiedBy>
  <cp:revision>3</cp:revision>
  <dcterms:created xsi:type="dcterms:W3CDTF">2021-11-01T10:13:00Z</dcterms:created>
  <dcterms:modified xsi:type="dcterms:W3CDTF">2023-07-03T11:57:00Z</dcterms:modified>
</cp:coreProperties>
</file>