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4D68" w14:textId="03C6CE80" w:rsidR="00FC0E4A" w:rsidRDefault="00E1669F">
      <w:pPr>
        <w:pStyle w:val="BodyA"/>
      </w:pPr>
      <w:bookmarkStart w:id="0" w:name="_GoBack"/>
      <w:bookmarkEnd w:id="0"/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29654B0" wp14:editId="47B32EC9">
                <wp:simplePos x="0" y="0"/>
                <wp:positionH relativeFrom="page">
                  <wp:posOffset>723900</wp:posOffset>
                </wp:positionH>
                <wp:positionV relativeFrom="page">
                  <wp:posOffset>4140200</wp:posOffset>
                </wp:positionV>
                <wp:extent cx="6367780" cy="3378200"/>
                <wp:effectExtent l="0" t="0" r="13970" b="1270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337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8CA0543" w14:textId="77777777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14:paraId="49388DEB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19A946A7" w14:textId="69310943" w:rsidR="00FC0E4A" w:rsidRDefault="006B2BA1" w:rsidP="00C23C8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23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Teachers will </w:t>
                            </w:r>
                            <w:r w:rsidR="00C23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the planning and resources provided by the Language Angels scheme to deliver </w:t>
                            </w:r>
                            <w:r w:rsidRPr="00C23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lessons which </w:t>
                            </w:r>
                            <w:r w:rsidR="00C23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 upon</w:t>
                            </w:r>
                            <w:r w:rsidRPr="00C23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prior learning</w:t>
                            </w:r>
                          </w:p>
                          <w:p w14:paraId="193D4282" w14:textId="77777777" w:rsidR="00466372" w:rsidRDefault="00466372" w:rsidP="00466372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5219BDF" w14:textId="55659F64" w:rsidR="00466372" w:rsidRDefault="00466372" w:rsidP="00466372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C4E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supported through the use of relevant resources and planning time (PPA)</w:t>
                            </w:r>
                          </w:p>
                          <w:p w14:paraId="36A08FF4" w14:textId="77777777" w:rsidR="00466372" w:rsidRPr="005C4E09" w:rsidRDefault="00466372" w:rsidP="00466372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50D2285" w14:textId="775C5253" w:rsidR="00466372" w:rsidRPr="00C23C87" w:rsidRDefault="00466372" w:rsidP="00C23C8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school has a unit planner in place which will serve as an overall ‘teaching map’</w:t>
                            </w:r>
                            <w:r w:rsidR="000A1D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outlining for all teachers within the school what each year group will be taught and when it will be taught</w:t>
                            </w:r>
                          </w:p>
                          <w:p w14:paraId="0E084166" w14:textId="77777777" w:rsidR="00FC0E4A" w:rsidRPr="00AA1204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6DC19987" w14:textId="3886D61C" w:rsidR="00FC0E4A" w:rsidRPr="005C4E09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C4E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Curriculum vocabulary is clearly listed on </w:t>
                            </w:r>
                            <w:r w:rsidR="008923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teacher support notes</w:t>
                            </w:r>
                            <w:r w:rsidRPr="005C4E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modelled consistently by all staff to pupils during lesson time</w:t>
                            </w:r>
                          </w:p>
                          <w:p w14:paraId="55C665ED" w14:textId="77777777" w:rsidR="00FC0E4A" w:rsidRPr="00AA1204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7412737" w14:textId="3A425774"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Staff ensure the 4 </w:t>
                            </w:r>
                            <w:r w:rsid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language skills</w:t>
                            </w: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embedded in </w:t>
                            </w:r>
                            <w:r w:rsid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each unit</w:t>
                            </w: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listening, speaking, reading, writing</w:t>
                            </w:r>
                          </w:p>
                          <w:p w14:paraId="144F60B4" w14:textId="77777777" w:rsidR="00466372" w:rsidRDefault="00466372" w:rsidP="0046637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E21DE06" w14:textId="7AE6CA32" w:rsidR="00466372" w:rsidRPr="00466372" w:rsidRDefault="00466372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663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Knowledge and awareness of required and appropriate grammar concepts will be taught throughout all units at all levels of challenge.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654B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57pt;margin-top:326pt;width:501.4pt;height:266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+YBAIAAAoEAAAOAAAAZHJzL2Uyb0RvYy54bWysU82O0zAQviPxDpbvNGm7NFXUdLVstQgJ&#10;wUoLD+A4dmNke4ztNunbM3ZKW9gbIgfH8/fNzDfjzf1oNDkKHxTYhs5nJSXCcuiU3Tf0+7end2tK&#10;QmS2YxqsaOhJBHq/fftmM7haLKAH3QlPEMSGenAN7WN0dVEE3gvDwgycsGiU4A2LKPp90Xk2ILrR&#10;xaIsV8UAvnMeuAgBtbvJSLcZX0rB41cpg4hENxRri/n0+WzTWWw3rN575nrFz2Wwf6jCMGUx6QVq&#10;xyIjB69eQRnFPQSQccbBFCCl4iL3gN3My7+6eemZE7kXJCe4C03h/8HyL8dnT1SHsyurZXU3Xy8q&#10;SiwzOKupugcfCbQ/kElKOhE4kvfKgCwOLtQI9uIQLo4fYETExG7SB1QmckbpTfpjPEE7zuN0mYEY&#10;I+GoXC1XVbVGE0fbclmtccoJp7iGOx/iRwGGpEtDfSotwbLj5xAn198uSW3hSWmNelZrSwasa1Eh&#10;JuEM901qNgUH0KpLjskv+H37qD05srQ2+TvX8IdbyrJjoZ/8smlaKKMibrVWpqF3t9HaJnSR9/Jc&#10;65WfdItjO55Ja6E7IZcD7mZDw88D84IS/cni8N+X69RAvBX8rdDeCvZgHgH7mFPCLO8BBzi1bOHh&#10;EEGqzFnKPqVErpOAC5dZPz+OtNG3cva6PuHtLwAAAP//AwBQSwMEFAAGAAgAAAAhAGAkW+veAAAA&#10;DQEAAA8AAABkcnMvZG93bnJldi54bWxMT8tOwzAQvCPxD9YicaNOqjaqQpwKURAXBCJwoDfXXpKI&#10;eB3Fbpv8PZsTvc1oRvMotqPrxAmH0HpSkC4SEEjG25ZqBV+fz3cbECFqsrrzhAomDLAtr68KnVt/&#10;pg88VbEWHEIh1wqaGPtcymAadDosfI/E2o8fnI5Mh1raQZ853HVymSSZdLolbmh0j48Nmt/q6BSY&#10;79Y8vUyvO+Pep/2qq/ZvyW6t1O3N+HAPIuIY/80wz+fpUPKmgz+SDaJjnq74S1SQrZcMZkeaZvzm&#10;MKMNi7Is5OWL8g8AAP//AwBQSwECLQAUAAYACAAAACEAtoM4kv4AAADhAQAAEwAAAAAAAAAAAAAA&#10;AAAAAAAAW0NvbnRlbnRfVHlwZXNdLnhtbFBLAQItABQABgAIAAAAIQA4/SH/1gAAAJQBAAALAAAA&#10;AAAAAAAAAAAAAC8BAABfcmVscy8ucmVsc1BLAQItABQABgAIAAAAIQCH1m+YBAIAAAoEAAAOAAAA&#10;AAAAAAAAAAAAAC4CAABkcnMvZTJvRG9jLnhtbFBLAQItABQABgAIAAAAIQBgJFvr3gAAAA0BAAAP&#10;AAAAAAAAAAAAAAAAAF4EAABkcnMvZG93bnJldi54bWxQSwUGAAAAAAQABADzAAAAaQUAAAAA&#10;" filled="f" strokeweight="1pt">
                <v:stroke miterlimit="4"/>
                <v:textbox inset="4pt,4pt,4pt,4pt">
                  <w:txbxContent>
                    <w:p w14:paraId="08CA0543" w14:textId="77777777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14:paraId="49388DEB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19A946A7" w14:textId="69310943" w:rsidR="00FC0E4A" w:rsidRDefault="006B2BA1" w:rsidP="00C23C8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23C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Teachers will </w:t>
                      </w:r>
                      <w:r w:rsidR="00C23C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the planning and resources provided by the Language Angels scheme to deliver </w:t>
                      </w:r>
                      <w:r w:rsidRPr="00C23C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lessons which </w:t>
                      </w:r>
                      <w:r w:rsidR="00C23C87">
                        <w:rPr>
                          <w:rFonts w:ascii="Comic Sans MS" w:hAnsi="Comic Sans MS"/>
                          <w:sz w:val="20"/>
                          <w:szCs w:val="20"/>
                        </w:rPr>
                        <w:t>build upon</w:t>
                      </w:r>
                      <w:r w:rsidRPr="00C23C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prior learning</w:t>
                      </w:r>
                    </w:p>
                    <w:p w14:paraId="193D4282" w14:textId="77777777" w:rsidR="00466372" w:rsidRDefault="00466372" w:rsidP="00466372">
                      <w:pPr>
                        <w:pStyle w:val="BodyA"/>
                        <w:ind w:left="18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5219BDF" w14:textId="55659F64" w:rsidR="00466372" w:rsidRDefault="00466372" w:rsidP="00466372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C4E09"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supported through the use of relevant resources and planning time (PPA)</w:t>
                      </w:r>
                    </w:p>
                    <w:p w14:paraId="36A08FF4" w14:textId="77777777" w:rsidR="00466372" w:rsidRPr="005C4E09" w:rsidRDefault="00466372" w:rsidP="00466372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50D2285" w14:textId="775C5253" w:rsidR="00466372" w:rsidRPr="00C23C87" w:rsidRDefault="00466372" w:rsidP="00C23C8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>The school has a unit planner in place which will serve as an overall ‘teaching map’</w:t>
                      </w:r>
                      <w:r w:rsidR="000A1D00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outlining for all teachers within the school what each year group will be taught and when it will be taught</w:t>
                      </w:r>
                    </w:p>
                    <w:p w14:paraId="0E084166" w14:textId="77777777" w:rsidR="00FC0E4A" w:rsidRPr="00AA1204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6DC19987" w14:textId="3886D61C" w:rsidR="00FC0E4A" w:rsidRPr="005C4E09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C4E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Curriculum vocabulary is clearly listed on </w:t>
                      </w:r>
                      <w:r w:rsidR="008923D9">
                        <w:rPr>
                          <w:rFonts w:ascii="Comic Sans MS" w:hAnsi="Comic Sans MS"/>
                          <w:sz w:val="20"/>
                          <w:szCs w:val="20"/>
                        </w:rPr>
                        <w:t>the teacher support notes</w:t>
                      </w:r>
                      <w:r w:rsidRPr="005C4E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modelled consistently by all staff to pupils during lesson time</w:t>
                      </w:r>
                    </w:p>
                    <w:p w14:paraId="55C665ED" w14:textId="77777777" w:rsidR="00FC0E4A" w:rsidRPr="00AA1204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7412737" w14:textId="3A425774"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Staff ensure the 4 </w:t>
                      </w:r>
                      <w:r w:rsid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>language skills</w:t>
                      </w: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embedded in </w:t>
                      </w:r>
                      <w:r w:rsid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>each unit</w:t>
                      </w: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listening, speaking, reading, writing</w:t>
                      </w:r>
                    </w:p>
                    <w:p w14:paraId="144F60B4" w14:textId="77777777" w:rsidR="00466372" w:rsidRDefault="00466372" w:rsidP="00466372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E21DE06" w14:textId="7AE6CA32" w:rsidR="00466372" w:rsidRPr="00466372" w:rsidRDefault="00466372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66372">
                        <w:rPr>
                          <w:rFonts w:ascii="Comic Sans MS" w:hAnsi="Comic Sans MS"/>
                          <w:sz w:val="20"/>
                          <w:szCs w:val="20"/>
                        </w:rPr>
                        <w:t>Knowledge and awareness of required and appropriate grammar concepts will be taught throughout all units at all levels of challenge.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A1204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DA10DCC" wp14:editId="67C556F6">
                <wp:simplePos x="0" y="0"/>
                <wp:positionH relativeFrom="page">
                  <wp:posOffset>736600</wp:posOffset>
                </wp:positionH>
                <wp:positionV relativeFrom="page">
                  <wp:posOffset>1079500</wp:posOffset>
                </wp:positionV>
                <wp:extent cx="6366510" cy="2946400"/>
                <wp:effectExtent l="0" t="0" r="15240" b="2540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294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61E7BE3" w14:textId="2BE49497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2A1B1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14:paraId="7A8387FB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7D6F4377" w14:textId="5FEF38A1" w:rsidR="00AA1204" w:rsidRDefault="006B2BA1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French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curriculum is designed to inspire our pupils </w:t>
                            </w:r>
                            <w:r w:rsid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A1204" w:rsidRP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a</w:t>
                            </w:r>
                            <w:r w:rsidR="000A1D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 w:rsidR="00AA1204" w:rsidRP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interest and positive curiosity about foreign languages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A1204" w:rsidRP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Learning a second language will offer pupils the opportunity to develop a deeper understanding of other cultures and the world around them with a better awareness of self, others and cultural differences. </w:t>
                            </w:r>
                            <w:r w:rsid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AA1204" w:rsidRP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intend to offer a relevant, broad, </w:t>
                            </w:r>
                            <w:r w:rsidR="00633F5E" w:rsidRP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vibrant,</w:t>
                            </w:r>
                            <w:r w:rsidR="00AA1204" w:rsidRPr="00AA1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ambitious foreign languages curriculum that will inspire and excite our pupils using a wide variety of topics and themes.</w:t>
                            </w:r>
                          </w:p>
                          <w:p w14:paraId="041BB6F5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36468F99" w14:textId="2ECB2B99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Through high quality teaching, </w:t>
                            </w:r>
                            <w:r w:rsidR="00633F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planning,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subject knowledge, we develop the following essential characteristics:</w:t>
                            </w:r>
                          </w:p>
                          <w:p w14:paraId="5F455BCD" w14:textId="6C27C52D" w:rsidR="00E1669F" w:rsidRDefault="00E1669F" w:rsidP="00E1669F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ability to listen, speak, </w:t>
                            </w:r>
                            <w:r w:rsidR="00633F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write in the target language with progressive difficulty</w:t>
                            </w:r>
                          </w:p>
                          <w:p w14:paraId="1B63242C" w14:textId="7A1CE33C" w:rsidR="00FC0E4A" w:rsidRDefault="006B2BA1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expansive knowledge of </w:t>
                            </w:r>
                            <w:r w:rsidR="00E166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French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vocabulary </w:t>
                            </w:r>
                          </w:p>
                          <w:p w14:paraId="41467333" w14:textId="7AE8387D" w:rsidR="00E1669F" w:rsidRDefault="00E1669F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understanding of </w:t>
                            </w:r>
                            <w:r w:rsidR="004815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French grammar</w:t>
                            </w:r>
                          </w:p>
                          <w:p w14:paraId="651DD9E8" w14:textId="47073415" w:rsidR="00E1669F" w:rsidRDefault="00E1669F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understanding of key French phonics. </w:t>
                            </w:r>
                          </w:p>
                          <w:p w14:paraId="39B553F9" w14:textId="6131F175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54090BF7" w14:textId="77777777" w:rsidR="00E1669F" w:rsidRDefault="00E1669F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0DCC" id="_x0000_s1027" type="#_x0000_t202" alt="officeArt object" style="position:absolute;margin-left:58pt;margin-top:85pt;width:501.3pt;height:232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dsCgIAABEEAAAOAAAAZHJzL2Uyb0RvYy54bWysU9uO0zAQfUfiHyy/06Td3oiarpatFiEh&#10;QFr4AMexGyPbY2y3Sf+esdNtC/uGyIOTuR3POTPZ3A9Gk6PwQYGt6XRSUiIsh1bZfU1/fH96t6Yk&#10;RGZbpsGKmp5EoPfbt282vavEDDrQrfAEQWyoelfTLkZXFUXgnTAsTMAJi0EJ3rCIpt8XrWc9ohtd&#10;zMpyWfTgW+eBixDQuxuDdJvxpRQ8fpUyiEh0TbG3mE+fzyadxXbDqr1nrlP83Ab7hy4MUxYvvUDt&#10;WGTk4NUrKKO4hwAyTjiYAqRUXGQOyGZa/sXmuWNOZC4oTnAXmcL/g+Vfjt88US3OrlzdrebT9WxB&#10;iWUGZzV29+AjgeYnKklJKwJH8V4FUMXehQrBnh3CxeEDDIiY1E3+gM4kziC9SW+sJxjHeZwuMxBD&#10;JBydy7vlcjHFEMfY7P18OS/zlIprufMhfhRgSPqoqU+tJVh2/BwiXompLynJbeFJaZ0HrS3psa/Z&#10;CjEJZ7hvUrOxOIBWbUpMJcHvm0ftyZGltclP4oLAf6SlW3YsdGNeDo0LZVTErdbK1BTbx+dcrW1C&#10;F3kvz71e9UlfcWiGcRov2jXQnlDSHle0puHXgXlBif5kcQcW5TrxiLeGvzWaW8MezCMgnSklzPIO&#10;cI4jcwsPhwhSZelSE+OVSDcZuHeZ+PkfSYt9a+es65+8/Q0AAP//AwBQSwMEFAAGAAgAAAAhADpD&#10;NqfhAAAADAEAAA8AAABkcnMvZG93bnJldi54bWxMj8FOwzAQRO9I/IO1SNyoHSihCnEqREFcUBFp&#10;D/Tm2iaJsNdR7LbJ37M9wW1GO5p9Uy5H79jRDrELKCGbCWAWdTAdNhK2m9ebBbCYFBrlAloJk42w&#10;rC4vSlWYcMJPe6xTw6gEY6EktCn1BedRt9arOAu9Rbp9h8GrRHZouBnUicq947dC5NyrDulDq3r7&#10;3Fr9Ux+8BP3V6Ze36X2l/ce0m7t6txareymvr8anR2DJjukvDGd8QoeKmPbhgCYyRz7LaUsi8SBI&#10;nBNZtsiB7SXkd3MBvCr5/xHVLwAAAP//AwBQSwECLQAUAAYACAAAACEAtoM4kv4AAADhAQAAEwAA&#10;AAAAAAAAAAAAAAAAAAAAW0NvbnRlbnRfVHlwZXNdLnhtbFBLAQItABQABgAIAAAAIQA4/SH/1gAA&#10;AJQBAAALAAAAAAAAAAAAAAAAAC8BAABfcmVscy8ucmVsc1BLAQItABQABgAIAAAAIQBMq1dsCgIA&#10;ABEEAAAOAAAAAAAAAAAAAAAAAC4CAABkcnMvZTJvRG9jLnhtbFBLAQItABQABgAIAAAAIQA6Qzan&#10;4QAAAAwBAAAPAAAAAAAAAAAAAAAAAGQEAABkcnMvZG93bnJldi54bWxQSwUGAAAAAAQABADzAAAA&#10;cgUAAAAA&#10;" filled="f" strokeweight="1pt">
                <v:stroke miterlimit="4"/>
                <v:textbox inset="4pt,4pt,4pt,4pt">
                  <w:txbxContent>
                    <w:p w14:paraId="261E7BE3" w14:textId="2BE49497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2A1B1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14:paraId="7A8387FB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7D6F4377" w14:textId="5FEF38A1" w:rsidR="00AA1204" w:rsidRDefault="006B2BA1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 w:rsid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>French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curriculum is designed to inspire our pupils </w:t>
                      </w:r>
                      <w:r w:rsid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AA1204" w:rsidRP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a</w:t>
                      </w:r>
                      <w:r w:rsidR="000A1D00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 w:rsidR="00AA1204" w:rsidRP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interest and positive curiosity about foreign languages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AA1204" w:rsidRP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Learning a second language will offer pupils the opportunity to develop a deeper understanding of other cultures and the world around them with a better awareness of self, others and cultural differences. </w:t>
                      </w:r>
                      <w:r w:rsid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</w:t>
                      </w:r>
                      <w:r w:rsidR="00AA1204" w:rsidRP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intend to offer a relevant, broad, </w:t>
                      </w:r>
                      <w:r w:rsidR="00633F5E" w:rsidRP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>vibrant,</w:t>
                      </w:r>
                      <w:r w:rsidR="00AA1204" w:rsidRPr="00AA12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ambitious foreign languages curriculum that will inspire and excite our pupils using a wide variety of topics and themes.</w:t>
                      </w:r>
                    </w:p>
                    <w:p w14:paraId="041BB6F5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36468F99" w14:textId="2ECB2B99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Through high quality teaching, </w:t>
                      </w:r>
                      <w:r w:rsidR="00633F5E">
                        <w:rPr>
                          <w:rFonts w:ascii="Comic Sans MS" w:hAnsi="Comic Sans MS"/>
                          <w:sz w:val="20"/>
                          <w:szCs w:val="20"/>
                        </w:rPr>
                        <w:t>planning,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subject knowledge, we develop the following essential characteristics:</w:t>
                      </w:r>
                    </w:p>
                    <w:p w14:paraId="5F455BCD" w14:textId="6C27C52D" w:rsidR="00E1669F" w:rsidRDefault="00E1669F" w:rsidP="00E1669F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ability to listen, speak, </w:t>
                      </w:r>
                      <w:r w:rsidR="00633F5E">
                        <w:rPr>
                          <w:rFonts w:ascii="Comic Sans MS" w:hAnsi="Comic Sans MS"/>
                          <w:sz w:val="20"/>
                          <w:szCs w:val="20"/>
                        </w:rPr>
                        <w:t>read,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write in the target language with progressive difficulty</w:t>
                      </w:r>
                    </w:p>
                    <w:p w14:paraId="1B63242C" w14:textId="7A1CE33C" w:rsidR="00FC0E4A" w:rsidRDefault="006B2BA1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expansive knowledge of </w:t>
                      </w:r>
                      <w:r w:rsidR="00E1669F">
                        <w:rPr>
                          <w:rFonts w:ascii="Comic Sans MS" w:hAnsi="Comic Sans MS"/>
                          <w:sz w:val="20"/>
                          <w:szCs w:val="20"/>
                        </w:rPr>
                        <w:t>French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vocabulary </w:t>
                      </w:r>
                    </w:p>
                    <w:p w14:paraId="41467333" w14:textId="7AE8387D" w:rsidR="00E1669F" w:rsidRDefault="00E1669F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understanding of </w:t>
                      </w:r>
                      <w:r w:rsidR="00481536">
                        <w:rPr>
                          <w:rFonts w:ascii="Comic Sans MS" w:hAnsi="Comic Sans MS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French grammar</w:t>
                      </w:r>
                    </w:p>
                    <w:p w14:paraId="651DD9E8" w14:textId="47073415" w:rsidR="00E1669F" w:rsidRDefault="00E1669F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understanding of key French phonics. </w:t>
                      </w:r>
                    </w:p>
                    <w:p w14:paraId="39B553F9" w14:textId="6131F175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54090BF7" w14:textId="77777777" w:rsidR="00E1669F" w:rsidRDefault="00E1669F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2BA1">
        <w:rPr>
          <w:rFonts w:ascii="Comic Sans MS" w:hAnsi="Comic Sans MS"/>
          <w:b/>
          <w:bCs/>
        </w:rPr>
        <w:t xml:space="preserve">Subject: </w:t>
      </w:r>
      <w:r w:rsidR="006B2BA1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77E95B" wp14:editId="1A124B7C">
                <wp:simplePos x="0" y="0"/>
                <wp:positionH relativeFrom="page">
                  <wp:posOffset>726440</wp:posOffset>
                </wp:positionH>
                <wp:positionV relativeFrom="page">
                  <wp:posOffset>7640517</wp:posOffset>
                </wp:positionV>
                <wp:extent cx="6379568" cy="267291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68" cy="26729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60093C2" w14:textId="77777777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14:paraId="7F314B72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212849AE" w14:textId="4AAF0D3A" w:rsidR="00FC0E4A" w:rsidRPr="009F703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70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Pupils can discuss their learning coherently using given vocabulary </w:t>
                            </w:r>
                          </w:p>
                          <w:p w14:paraId="219F5607" w14:textId="77777777" w:rsidR="00FC0E4A" w:rsidRPr="00AA1204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5A9E7218" w14:textId="60176FAB" w:rsidR="00FC0E4A" w:rsidRPr="009F703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70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 children progress through the school, they develop a deep knowledge, understanding and appreciation of </w:t>
                            </w:r>
                            <w:r w:rsidR="009F703A" w:rsidRPr="009F70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other languages and cultures</w:t>
                            </w:r>
                          </w:p>
                          <w:p w14:paraId="0B8BE22E" w14:textId="77777777" w:rsidR="00FC0E4A" w:rsidRPr="009F703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1070C1ED" w14:textId="77777777" w:rsidR="00FC0E4A" w:rsidRPr="009F703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70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 voice (they can discuss their learning)</w:t>
                            </w:r>
                          </w:p>
                          <w:p w14:paraId="50CC51F3" w14:textId="77777777" w:rsidR="00FC0E4A" w:rsidRPr="009F703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4970C19A" w14:textId="77777777" w:rsidR="00FC0E4A" w:rsidRPr="009F703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70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Evidence is recorded accordingly and appropriately to the intended lesson outcome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E95B" id="_x0000_s1028" type="#_x0000_t202" alt="officeArt object" style="position:absolute;margin-left:57.2pt;margin-top:601.6pt;width:502.35pt;height:210.4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rmCgIAABEEAAAOAAAAZHJzL2Uyb0RvYy54bWysU11v2yAUfZ+0/4B4X+y4aZJacaquUadJ&#10;0zqp2w/AGGIm4HpAYuff74LTxFvfpvkBcz843HvuYXM/GE2OwnkFtqLzWU6JsBwaZfcV/fH96cOa&#10;Eh+YbZgGKyp6Ep7eb9+/2/RdKQpoQTfCEQSxvuy7irYhdGWWed4Kw/wMOmExKMEZFtB0+6xxrEd0&#10;o7Miz5dZD67pHHDhPXp3Y5BuE76UgodnKb0IRFcUawtpdWmt45ptN6zcO9a1ip/LYP9QhWHK4qUX&#10;qB0LjBycegNlFHfgQYYZB5OBlIqL1AN2M8//6ualZZ1IvSA5vrvQ5P8fLP96/OaIanB2+epmtZiv&#10;iyUllhmc1VjdgwsE6p/IJCWN8BzJexNAFvvOlwj20iFcGD7CgIiR3ej36IzkDNKZ+MfzBOM4j9Nl&#10;BmIIhKNzebO6u12iajjGiuWquJsvIk52Pd45Hz4JMCRuKupiaRGWHb/4MKa+pkS3hSelNfpZqS3p&#10;sa5ilePdnKHepGbjYQ9aNTEx5nm3rx+1I0cWZZO+cw1/pMVbdsy3Y14KjYIyKqCqtTIVXUxPaxvR&#10;RdLludYrP3EXhnpI0yheuauhOSGlPUq0ov7XgTlBif5sUQO3+Tr2EaaGmxr11LAH8wjYzpwSZnkL&#10;OMexcwsPhwBSJepiEeOVSHk0UHeJ/PMbicKe2inr+pK3vwEAAP//AwBQSwMEFAAGAAgAAAAhABaE&#10;haPiAAAADgEAAA8AAABkcnMvZG93bnJldi54bWxMj81OwzAQhO9IvIO1SNyo7RAqCHEqREFcUBGB&#10;A725zpJE+CeK3TZ5e7YnuM1oP83OlKvJWXbAMfbBK5ALAQy9CU3vWwWfH89Xt8Bi0r7RNnhUMGOE&#10;VXV+VuqiCUf/joc6tYxCfCy0gi6loeA8mg6djoswoKfbdxidTmTHljejPlK4szwTYsmd7j196PSA&#10;jx2an3rvFJiv3jy9zK9r497mbW7r7Uasb5S6vJge7oElnNIfDKf6VB0q6rQLe99EZsnLPCeURCau&#10;M2AnRMo7CWxHapnlEnhV8v8zql8AAAD//wMAUEsBAi0AFAAGAAgAAAAhALaDOJL+AAAA4QEAABMA&#10;AAAAAAAAAAAAAAAAAAAAAFtDb250ZW50X1R5cGVzXS54bWxQSwECLQAUAAYACAAAACEAOP0h/9YA&#10;AACUAQAACwAAAAAAAAAAAAAAAAAvAQAAX3JlbHMvLnJlbHNQSwECLQAUAAYACAAAACEAlhpK5goC&#10;AAARBAAADgAAAAAAAAAAAAAAAAAuAgAAZHJzL2Uyb0RvYy54bWxQSwECLQAUAAYACAAAACEAFoSF&#10;o+IAAAAOAQAADwAAAAAAAAAAAAAAAABkBAAAZHJzL2Rvd25yZXYueG1sUEsFBgAAAAAEAAQA8wAA&#10;AHMFAAAAAA==&#10;" filled="f" strokeweight="1pt">
                <v:stroke miterlimit="4"/>
                <v:textbox inset="4pt,4pt,4pt,4pt">
                  <w:txbxContent>
                    <w:p w14:paraId="260093C2" w14:textId="77777777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14:paraId="7F314B72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212849AE" w14:textId="4AAF0D3A" w:rsidR="00FC0E4A" w:rsidRPr="009F703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70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Pupils can discuss their learning coherently using given vocabulary </w:t>
                      </w:r>
                    </w:p>
                    <w:p w14:paraId="219F5607" w14:textId="77777777" w:rsidR="00FC0E4A" w:rsidRPr="00AA1204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5A9E7218" w14:textId="60176FAB" w:rsidR="00FC0E4A" w:rsidRPr="009F703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70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 children progress through the school, they develop a deep knowledge, understanding and appreciation of </w:t>
                      </w:r>
                      <w:r w:rsidR="009F703A" w:rsidRPr="009F703A">
                        <w:rPr>
                          <w:rFonts w:ascii="Comic Sans MS" w:hAnsi="Comic Sans MS"/>
                          <w:sz w:val="20"/>
                          <w:szCs w:val="20"/>
                        </w:rPr>
                        <w:t>other languages and cultures</w:t>
                      </w:r>
                    </w:p>
                    <w:p w14:paraId="0B8BE22E" w14:textId="77777777" w:rsidR="00FC0E4A" w:rsidRPr="009F703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1070C1ED" w14:textId="77777777" w:rsidR="00FC0E4A" w:rsidRPr="009F703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703A">
                        <w:rPr>
                          <w:rFonts w:ascii="Comic Sans MS" w:hAnsi="Comic Sans MS"/>
                          <w:sz w:val="20"/>
                          <w:szCs w:val="20"/>
                        </w:rPr>
                        <w:t>Pupil voice (they can discuss their learning)</w:t>
                      </w:r>
                    </w:p>
                    <w:p w14:paraId="50CC51F3" w14:textId="77777777" w:rsidR="00FC0E4A" w:rsidRPr="009F703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4970C19A" w14:textId="77777777" w:rsidR="00FC0E4A" w:rsidRPr="009F703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703A">
                        <w:rPr>
                          <w:rFonts w:ascii="Comic Sans MS" w:hAnsi="Comic Sans MS"/>
                          <w:sz w:val="20"/>
                          <w:szCs w:val="20"/>
                        </w:rPr>
                        <w:t>Evidence is recorded accordingly and appropriately to the intended lesson outcome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2BA1"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 wp14:anchorId="2C8FC6B0" wp14:editId="7BB28963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1204">
        <w:rPr>
          <w:rFonts w:ascii="Comic Sans MS" w:hAnsi="Comic Sans MS"/>
          <w:b/>
          <w:bCs/>
        </w:rPr>
        <w:t>French</w:t>
      </w:r>
    </w:p>
    <w:sectPr w:rsidR="00FC0E4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14FC" w14:textId="77777777" w:rsidR="00B67202" w:rsidRDefault="00B67202">
      <w:r>
        <w:separator/>
      </w:r>
    </w:p>
  </w:endnote>
  <w:endnote w:type="continuationSeparator" w:id="0">
    <w:p w14:paraId="4C92204C" w14:textId="77777777" w:rsidR="00B67202" w:rsidRDefault="00B6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B72E" w14:textId="77777777"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8E27" w14:textId="77777777" w:rsidR="00B67202" w:rsidRDefault="00B67202">
      <w:r>
        <w:separator/>
      </w:r>
    </w:p>
  </w:footnote>
  <w:footnote w:type="continuationSeparator" w:id="0">
    <w:p w14:paraId="7A5D2934" w14:textId="77777777" w:rsidR="00B67202" w:rsidRDefault="00B6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F0F6" w14:textId="77777777"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0A1D00"/>
    <w:rsid w:val="001859E3"/>
    <w:rsid w:val="001C1E56"/>
    <w:rsid w:val="002A1B16"/>
    <w:rsid w:val="00466372"/>
    <w:rsid w:val="00481536"/>
    <w:rsid w:val="004B36DD"/>
    <w:rsid w:val="005C4E09"/>
    <w:rsid w:val="00633F5E"/>
    <w:rsid w:val="006B2BA1"/>
    <w:rsid w:val="00840BC9"/>
    <w:rsid w:val="008923D9"/>
    <w:rsid w:val="008F312A"/>
    <w:rsid w:val="009F703A"/>
    <w:rsid w:val="00AA1204"/>
    <w:rsid w:val="00B67202"/>
    <w:rsid w:val="00B85C3F"/>
    <w:rsid w:val="00C23C87"/>
    <w:rsid w:val="00C71016"/>
    <w:rsid w:val="00D510B9"/>
    <w:rsid w:val="00E1669F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0F5F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E16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3</cp:revision>
  <cp:lastPrinted>2023-07-03T11:53:00Z</cp:lastPrinted>
  <dcterms:created xsi:type="dcterms:W3CDTF">2021-11-01T20:16:00Z</dcterms:created>
  <dcterms:modified xsi:type="dcterms:W3CDTF">2023-07-03T11:53:00Z</dcterms:modified>
</cp:coreProperties>
</file>