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4110"/>
        <w:gridCol w:w="2410"/>
      </w:tblGrid>
      <w:tr w:rsidR="00912731" w:rsidTr="00B723FD">
        <w:tc>
          <w:tcPr>
            <w:tcW w:w="10490" w:type="dxa"/>
            <w:gridSpan w:val="3"/>
          </w:tcPr>
          <w:p w:rsidR="00912731" w:rsidRDefault="00BE18FE" w:rsidP="00912731">
            <w:pPr>
              <w:jc w:val="center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</w:rPr>
              <w:t>YEAR 3</w:t>
            </w:r>
          </w:p>
          <w:p w:rsidR="00912731" w:rsidRDefault="00912731" w:rsidP="00912731">
            <w:pPr>
              <w:jc w:val="center"/>
            </w:pPr>
            <w:r w:rsidRPr="00A62D77">
              <w:rPr>
                <w:rFonts w:ascii="Comic Sans MS" w:hAnsi="Comic Sans MS"/>
                <w:b/>
                <w:sz w:val="24"/>
              </w:rPr>
              <w:t>AUTUMN</w:t>
            </w:r>
          </w:p>
        </w:tc>
      </w:tr>
      <w:tr w:rsidR="00992E5F" w:rsidTr="00A35494">
        <w:tc>
          <w:tcPr>
            <w:tcW w:w="3970" w:type="dxa"/>
          </w:tcPr>
          <w:p w:rsidR="00992E5F" w:rsidRPr="00EC2329" w:rsidRDefault="00992E5F" w:rsidP="00992E5F">
            <w:pPr>
              <w:ind w:right="170"/>
              <w:jc w:val="center"/>
              <w:rPr>
                <w:rFonts w:ascii="Comic Sans MS" w:eastAsia="Arial" w:hAnsi="Comic Sans MS"/>
                <w:b/>
                <w:sz w:val="18"/>
                <w:szCs w:val="18"/>
              </w:rPr>
            </w:pPr>
            <w:r>
              <w:rPr>
                <w:rFonts w:ascii="Comic Sans MS" w:eastAsia="Arial" w:hAnsi="Comic Sans MS"/>
                <w:b/>
                <w:sz w:val="18"/>
                <w:szCs w:val="18"/>
              </w:rPr>
              <w:t>PUNCTUATION</w:t>
            </w:r>
          </w:p>
        </w:tc>
        <w:tc>
          <w:tcPr>
            <w:tcW w:w="4110" w:type="dxa"/>
          </w:tcPr>
          <w:p w:rsidR="00992E5F" w:rsidRPr="00EC2329" w:rsidRDefault="00992E5F" w:rsidP="00992E5F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GRAMMAR</w:t>
            </w:r>
          </w:p>
        </w:tc>
        <w:tc>
          <w:tcPr>
            <w:tcW w:w="2410" w:type="dxa"/>
          </w:tcPr>
          <w:p w:rsidR="00992E5F" w:rsidRPr="00EC2329" w:rsidRDefault="00992E5F" w:rsidP="00992E5F">
            <w:pPr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TERMINOLOGY</w:t>
            </w:r>
          </w:p>
        </w:tc>
      </w:tr>
      <w:tr w:rsidR="00BE18FE" w:rsidTr="00A35494">
        <w:tc>
          <w:tcPr>
            <w:tcW w:w="3970" w:type="dxa"/>
          </w:tcPr>
          <w:p w:rsidR="00BE18FE" w:rsidRDefault="00BE18FE" w:rsidP="00BE18FE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spacing w:after="8"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capital letters and full stops to demarcate sentences accurately (Y1)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spacing w:after="6"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the personal pronoun I (Y1)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question marks correctly (Y1)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exclamation marks correctly (Y1)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spacing w:after="6"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Learn the possessive apostrophe (singular) (Y2)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apostrophes for possession (Y2)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spacing w:after="2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apostrophes for contraction (Y2)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commas for lists (Y2)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brackets for parentheses (Y2)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spacing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inverted commas to demarcate direct speech (Y2) </w:t>
            </w:r>
          </w:p>
          <w:p w:rsidR="00BE18FE" w:rsidRDefault="00BE18FE" w:rsidP="00BE18FE">
            <w:pPr>
              <w:spacing w:after="12"/>
              <w:ind w:left="36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BE18FE" w:rsidRDefault="00BE18FE" w:rsidP="00BE18FE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BE18FE" w:rsidRDefault="00BE18FE" w:rsidP="00BE18FE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capital letters for all proper nouns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colons to introduce a list </w:t>
            </w:r>
          </w:p>
          <w:p w:rsidR="00BE18FE" w:rsidRDefault="00BE18FE" w:rsidP="00BE18FE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colons to introduce an example </w:t>
            </w:r>
          </w:p>
          <w:p w:rsidR="00BE18FE" w:rsidRDefault="00BE18FE" w:rsidP="00BE18FE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BE18FE" w:rsidRDefault="00BE18FE" w:rsidP="00BE18FE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BE18FE" w:rsidRDefault="00BE18FE" w:rsidP="00BE18FE">
            <w:pPr>
              <w:numPr>
                <w:ilvl w:val="0"/>
                <w:numId w:val="13"/>
              </w:numPr>
              <w:spacing w:after="6" w:line="248" w:lineRule="auto"/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apostrophes for contractions correctly (Y2) </w:t>
            </w:r>
          </w:p>
          <w:p w:rsidR="00BE18FE" w:rsidRDefault="00BE18FE" w:rsidP="00BE18FE">
            <w:pPr>
              <w:numPr>
                <w:ilvl w:val="0"/>
                <w:numId w:val="13"/>
              </w:numPr>
              <w:spacing w:line="248" w:lineRule="auto"/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correct and consistent tense structures when writing e.g. present tense, past tense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(Y2) and </w:t>
            </w:r>
            <w:r>
              <w:rPr>
                <w:rFonts w:ascii="Arial" w:eastAsia="Arial" w:hAnsi="Arial" w:cs="Arial"/>
                <w:color w:val="0070C0"/>
                <w:sz w:val="14"/>
              </w:rPr>
              <w:t>future tense</w:t>
            </w:r>
            <w:r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color w:val="5B9BD5"/>
                <w:sz w:val="14"/>
              </w:rPr>
              <w:t xml:space="preserve">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5B9BD5"/>
                <w:sz w:val="14"/>
              </w:rPr>
              <w:t xml:space="preserve">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5B9BD5"/>
                <w:sz w:val="14"/>
              </w:rPr>
              <w:t xml:space="preserve">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5B9BD5"/>
                <w:sz w:val="14"/>
              </w:rPr>
              <w:t xml:space="preserve">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5B9BD5"/>
                <w:sz w:val="14"/>
              </w:rPr>
              <w:t xml:space="preserve"> </w:t>
            </w:r>
          </w:p>
          <w:p w:rsidR="00BE18FE" w:rsidRDefault="00BE18FE" w:rsidP="00BE18FE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BE18FE" w:rsidRDefault="00BE18FE" w:rsidP="00BE18FE">
            <w:pPr>
              <w:ind w:left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</w:p>
          <w:p w:rsidR="00BE18FE" w:rsidRDefault="00BE18FE" w:rsidP="00BE18FE">
            <w:pPr>
              <w:numPr>
                <w:ilvl w:val="0"/>
                <w:numId w:val="13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Extend the range of sentences with more than one clause by using a wider range of conjunctions, including when, if, because, although </w:t>
            </w:r>
          </w:p>
          <w:p w:rsidR="00BE18FE" w:rsidRDefault="00BE18FE" w:rsidP="00BE18FE">
            <w:pPr>
              <w:numPr>
                <w:ilvl w:val="0"/>
                <w:numId w:val="13"/>
              </w:numPr>
              <w:spacing w:after="6" w:line="248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Choose nouns or pronouns appropriately for clarity and cohesion and to avoid repetition </w:t>
            </w:r>
          </w:p>
          <w:p w:rsidR="00BE18FE" w:rsidRDefault="00BE18FE" w:rsidP="00BE18FE">
            <w:pPr>
              <w:numPr>
                <w:ilvl w:val="0"/>
                <w:numId w:val="13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conjunctions, adverbs and prepositions to express time and cause </w:t>
            </w:r>
          </w:p>
          <w:p w:rsidR="00BE18FE" w:rsidRDefault="00BE18FE" w:rsidP="005805C9">
            <w:pPr>
              <w:numPr>
                <w:ilvl w:val="0"/>
                <w:numId w:val="13"/>
              </w:numPr>
              <w:spacing w:line="248" w:lineRule="auto"/>
              <w:ind w:hanging="361"/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paragraphs to organise in time sequence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Conjunction 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Word family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Prefix 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5805C9" w:rsidRPr="005805C9" w:rsidRDefault="005805C9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>Consonant</w:t>
            </w:r>
          </w:p>
          <w:p w:rsidR="00BE18FE" w:rsidRDefault="005805C9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>Vo</w:t>
            </w:r>
            <w:r w:rsidR="00BE18FE">
              <w:rPr>
                <w:rFonts w:ascii="Arial" w:eastAsia="Arial" w:hAnsi="Arial" w:cs="Arial"/>
                <w:sz w:val="14"/>
              </w:rPr>
              <w:t xml:space="preserve">wel 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Inverted commas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Noun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Adjective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Adverb / verb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Pronoun 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 xml:space="preserve">Tense </w:t>
            </w:r>
          </w:p>
          <w:p w:rsidR="005805C9" w:rsidRPr="005805C9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>Apostrophe</w:t>
            </w:r>
          </w:p>
          <w:p w:rsidR="00BE18FE" w:rsidRDefault="00BE18FE" w:rsidP="005805C9">
            <w:pPr>
              <w:numPr>
                <w:ilvl w:val="0"/>
                <w:numId w:val="14"/>
              </w:numPr>
              <w:ind w:left="360" w:hanging="360"/>
            </w:pPr>
            <w:r>
              <w:rPr>
                <w:rFonts w:ascii="Arial" w:eastAsia="Arial" w:hAnsi="Arial" w:cs="Arial"/>
                <w:sz w:val="14"/>
              </w:rPr>
              <w:t>Homophone</w:t>
            </w:r>
          </w:p>
        </w:tc>
      </w:tr>
      <w:tr w:rsidR="00BE18FE" w:rsidTr="00FC38C4">
        <w:tc>
          <w:tcPr>
            <w:tcW w:w="10490" w:type="dxa"/>
            <w:gridSpan w:val="3"/>
          </w:tcPr>
          <w:p w:rsidR="00BE18FE" w:rsidRPr="005805C9" w:rsidRDefault="00BE18FE" w:rsidP="00BE18FE">
            <w:pPr>
              <w:jc w:val="center"/>
              <w:rPr>
                <w:rFonts w:ascii="Comic Sans MS" w:hAnsi="Comic Sans MS"/>
                <w:b/>
              </w:rPr>
            </w:pPr>
            <w:r w:rsidRPr="005805C9">
              <w:rPr>
                <w:rFonts w:ascii="Comic Sans MS" w:hAnsi="Comic Sans MS"/>
                <w:b/>
              </w:rPr>
              <w:t>SPRING</w:t>
            </w:r>
          </w:p>
        </w:tc>
      </w:tr>
      <w:tr w:rsidR="005805C9" w:rsidTr="00A35494">
        <w:tc>
          <w:tcPr>
            <w:tcW w:w="3970" w:type="dxa"/>
          </w:tcPr>
          <w:p w:rsidR="005805C9" w:rsidRDefault="005805C9" w:rsidP="005805C9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after="6" w:line="248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>Use capital letters and full stops to demarcate sentences accurately (Y1)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 xml:space="preserve">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proper nouns (Y3)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after="6"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the personal pronoun I (Y1)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after="3" w:line="270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apostrophes for possession and contraction (Y2)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question marks and exclamation marks </w:t>
            </w:r>
          </w:p>
          <w:p w:rsidR="005805C9" w:rsidRDefault="005805C9" w:rsidP="005805C9">
            <w:pPr>
              <w:spacing w:after="22"/>
              <w:ind w:left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correctly (Y1)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after="6"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Learn the possessive apostrophe (singular) (Y1)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after="2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commas for lists (Y2)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brackets for parentheses (Y2)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spacing w:line="28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inverted commas to demarcate direct speech (Y2) </w:t>
            </w:r>
          </w:p>
          <w:p w:rsidR="005805C9" w:rsidRDefault="005805C9" w:rsidP="005805C9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commas alongside inverted commas to </w:t>
            </w:r>
          </w:p>
          <w:p w:rsidR="005805C9" w:rsidRDefault="005805C9" w:rsidP="005805C9">
            <w:pPr>
              <w:spacing w:after="23"/>
              <w:ind w:left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correctly punctuate 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colons to introduce a list </w:t>
            </w:r>
          </w:p>
          <w:p w:rsidR="005805C9" w:rsidRDefault="005805C9" w:rsidP="005805C9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colons to introduce an example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5805C9" w:rsidRDefault="005805C9" w:rsidP="005805C9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spacing w:line="248" w:lineRule="auto"/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paragraphs to organise in time sequence (Y3) </w:t>
            </w:r>
          </w:p>
          <w:p w:rsidR="005805C9" w:rsidRDefault="005805C9" w:rsidP="005805C9">
            <w:pPr>
              <w:rPr>
                <w:rFonts w:ascii="Arial" w:eastAsia="Arial" w:hAnsi="Arial" w:cs="Arial"/>
                <w:b/>
                <w:color w:val="0B0C0C"/>
                <w:sz w:val="14"/>
              </w:rPr>
            </w:pPr>
          </w:p>
          <w:p w:rsidR="005805C9" w:rsidRDefault="005805C9" w:rsidP="005805C9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spacing w:after="5" w:line="249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Indicate possession by using the possessive apostrophe with plural nouns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spacing w:after="8" w:line="248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conjunctions: when, if, although to express time and cause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adverbs e.g. then, next, soon, therefore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prepositions to express time and cause </w:t>
            </w:r>
          </w:p>
          <w:p w:rsidR="005805C9" w:rsidRDefault="005805C9" w:rsidP="005805C9">
            <w:pPr>
              <w:ind w:left="10"/>
              <w:jc w:val="center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e.g. before, after, during, in, because of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spacing w:after="9" w:line="245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the present perfect form of verbs in contrast to the past tense e.g. she had have/has + past participle e.g. has walked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fronted adverbials  </w:t>
            </w:r>
          </w:p>
          <w:p w:rsidR="005805C9" w:rsidRDefault="005805C9" w:rsidP="005805C9">
            <w:pPr>
              <w:numPr>
                <w:ilvl w:val="0"/>
                <w:numId w:val="16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commas after fronted adverbials  </w:t>
            </w:r>
          </w:p>
          <w:p w:rsidR="005805C9" w:rsidRDefault="005805C9" w:rsidP="005805C9">
            <w:pPr>
              <w:ind w:left="36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Conjunction 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Word family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Prefix 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5805C9" w:rsidRDefault="00EC7E82" w:rsidP="005805C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Arial" w:eastAsia="Arial" w:hAnsi="Arial" w:cs="Arial"/>
                <w:sz w:val="14"/>
              </w:rPr>
              <w:t>Consonant /</w:t>
            </w:r>
            <w:r w:rsidR="005805C9" w:rsidRPr="005805C9">
              <w:rPr>
                <w:rFonts w:ascii="Arial" w:eastAsia="Arial" w:hAnsi="Arial" w:cs="Arial"/>
                <w:sz w:val="14"/>
              </w:rPr>
              <w:t xml:space="preserve">vowel 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Inverted commas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Noun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Adjective </w:t>
            </w:r>
          </w:p>
          <w:p w:rsidR="005805C9" w:rsidRDefault="00EC7E82" w:rsidP="005805C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Arial" w:eastAsia="Arial" w:hAnsi="Arial" w:cs="Arial"/>
                <w:sz w:val="14"/>
              </w:rPr>
              <w:t>Adverb/</w:t>
            </w:r>
            <w:r w:rsidR="005805C9" w:rsidRPr="005805C9">
              <w:rPr>
                <w:rFonts w:ascii="Arial" w:eastAsia="Arial" w:hAnsi="Arial" w:cs="Arial"/>
                <w:sz w:val="14"/>
              </w:rPr>
              <w:t xml:space="preserve">verb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Pronoun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Tense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 xml:space="preserve">Apostrophe        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18"/>
              </w:numPr>
            </w:pPr>
            <w:r w:rsidRPr="005805C9">
              <w:rPr>
                <w:rFonts w:ascii="Arial" w:eastAsia="Arial" w:hAnsi="Arial" w:cs="Arial"/>
                <w:sz w:val="14"/>
              </w:rPr>
              <w:t>Homophone</w:t>
            </w:r>
          </w:p>
        </w:tc>
      </w:tr>
      <w:tr w:rsidR="005805C9" w:rsidTr="00EF2851">
        <w:tc>
          <w:tcPr>
            <w:tcW w:w="10490" w:type="dxa"/>
            <w:gridSpan w:val="3"/>
          </w:tcPr>
          <w:p w:rsidR="005805C9" w:rsidRPr="005805C9" w:rsidRDefault="005805C9" w:rsidP="005805C9">
            <w:pPr>
              <w:jc w:val="center"/>
              <w:rPr>
                <w:rFonts w:ascii="Comic Sans MS" w:hAnsi="Comic Sans MS"/>
                <w:b/>
              </w:rPr>
            </w:pPr>
            <w:r w:rsidRPr="005805C9">
              <w:rPr>
                <w:rFonts w:ascii="Comic Sans MS" w:hAnsi="Comic Sans MS"/>
                <w:b/>
              </w:rPr>
              <w:t>SUMMER</w:t>
            </w:r>
          </w:p>
        </w:tc>
      </w:tr>
      <w:tr w:rsidR="005805C9" w:rsidTr="00A35494">
        <w:tc>
          <w:tcPr>
            <w:tcW w:w="3970" w:type="dxa"/>
          </w:tcPr>
          <w:p w:rsidR="005805C9" w:rsidRPr="005805C9" w:rsidRDefault="005805C9" w:rsidP="005805C9">
            <w:pPr>
              <w:rPr>
                <w:sz w:val="14"/>
              </w:rPr>
            </w:pPr>
            <w:r w:rsidRPr="005805C9"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8" w:line="247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>Use capital letters and full stops to demarcate sentences accurately (Y1)</w:t>
            </w:r>
            <w:r w:rsidRPr="005805C9">
              <w:rPr>
                <w:rFonts w:ascii="Arial" w:eastAsia="Arial" w:hAnsi="Arial" w:cs="Arial"/>
                <w:b/>
                <w:color w:val="00B050"/>
                <w:sz w:val="14"/>
              </w:rPr>
              <w:t xml:space="preserve">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8" w:line="281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proper nouns (Y3)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10" w:line="278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the personal pronoun I (Y1)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8" w:line="265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apostrophes for possession and contraction (Y2)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10" w:line="278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question marks and exclamation marks correctly (Y1)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Learn the possessive apostrophe </w:t>
            </w:r>
          </w:p>
          <w:p w:rsidR="005805C9" w:rsidRPr="005805C9" w:rsidRDefault="005805C9" w:rsidP="005805C9">
            <w:pPr>
              <w:spacing w:after="25"/>
              <w:ind w:left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(singular) (Y1)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commas for lists (Y2)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brackets for parentheses (Y2)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10" w:line="278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inverted commas to demarcate direct speech (Y2)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spacing w:after="8" w:line="281" w:lineRule="auto"/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commas alongside inverted commas to correctly punctuate (Y3)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colons to introduce a list (Y3) </w:t>
            </w:r>
          </w:p>
          <w:p w:rsidR="005805C9" w:rsidRPr="005805C9" w:rsidRDefault="005805C9" w:rsidP="005805C9">
            <w:pPr>
              <w:numPr>
                <w:ilvl w:val="0"/>
                <w:numId w:val="19"/>
              </w:numPr>
              <w:ind w:hanging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colons to introduce an example </w:t>
            </w:r>
          </w:p>
          <w:p w:rsidR="005805C9" w:rsidRPr="005805C9" w:rsidRDefault="005805C9" w:rsidP="005805C9">
            <w:pPr>
              <w:spacing w:after="50"/>
              <w:ind w:left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(Y3) </w:t>
            </w:r>
          </w:p>
          <w:p w:rsidR="005805C9" w:rsidRPr="005805C9" w:rsidRDefault="005805C9" w:rsidP="005805C9">
            <w:pPr>
              <w:ind w:left="360"/>
              <w:rPr>
                <w:sz w:val="14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5805C9" w:rsidRPr="005805C9" w:rsidRDefault="005805C9" w:rsidP="005805C9">
            <w:pPr>
              <w:rPr>
                <w:sz w:val="14"/>
              </w:rPr>
            </w:pPr>
            <w:r w:rsidRPr="005805C9"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5" w:line="247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fronted adverbials with a comma in the correct place (Y3)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line="247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Use paragraphs to organise in time sequence (Y3) </w:t>
            </w:r>
          </w:p>
          <w:p w:rsidR="005805C9" w:rsidRPr="005805C9" w:rsidRDefault="005805C9" w:rsidP="005805C9">
            <w:pPr>
              <w:ind w:left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</w:p>
          <w:p w:rsidR="005805C9" w:rsidRPr="005805C9" w:rsidRDefault="005805C9" w:rsidP="005805C9">
            <w:pPr>
              <w:ind w:left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</w:p>
          <w:p w:rsidR="005805C9" w:rsidRPr="005805C9" w:rsidRDefault="005805C9" w:rsidP="005805C9">
            <w:pPr>
              <w:rPr>
                <w:sz w:val="14"/>
              </w:rPr>
            </w:pPr>
            <w:r w:rsidRPr="005805C9"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9" w:line="242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apostrophes for contractions correctly and know the difference between apostrophes for possessives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5" w:line="247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Understand that plurals do not need apostrophes 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8" w:line="243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opportunities to compare different forms of past tense e.g. progressive and simple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8" w:line="244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a range of tenses to show changes in timing and sequence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after="5" w:line="247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imperative verbs to convey urgency </w:t>
            </w:r>
          </w:p>
          <w:p w:rsidR="005805C9" w:rsidRPr="005805C9" w:rsidRDefault="005805C9" w:rsidP="005805C9">
            <w:pPr>
              <w:numPr>
                <w:ilvl w:val="0"/>
                <w:numId w:val="20"/>
              </w:numPr>
              <w:spacing w:line="247" w:lineRule="auto"/>
              <w:ind w:hanging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Use rhetorical questions to engage the reader </w:t>
            </w:r>
          </w:p>
          <w:p w:rsidR="005805C9" w:rsidRPr="005805C9" w:rsidRDefault="005805C9" w:rsidP="005805C9">
            <w:pPr>
              <w:spacing w:after="19"/>
              <w:ind w:left="361"/>
              <w:rPr>
                <w:sz w:val="14"/>
              </w:rPr>
            </w:pPr>
            <w:r w:rsidRPr="005805C9">
              <w:rPr>
                <w:rFonts w:ascii="Arial" w:eastAsia="Arial" w:hAnsi="Arial" w:cs="Arial"/>
                <w:color w:val="0070C0"/>
                <w:sz w:val="14"/>
              </w:rPr>
              <w:t xml:space="preserve"> </w:t>
            </w:r>
          </w:p>
          <w:p w:rsidR="005805C9" w:rsidRPr="005805C9" w:rsidRDefault="005805C9" w:rsidP="005805C9">
            <w:pPr>
              <w:rPr>
                <w:sz w:val="14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Conjunction 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Word family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Prefix 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 xml:space="preserve">Consonant /vowel 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>Inverted commas</w:t>
            </w:r>
            <w:r w:rsidRPr="005805C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>Tense</w:t>
            </w:r>
            <w:r w:rsidRPr="005805C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>Apostrophe</w:t>
            </w:r>
            <w:r w:rsidRPr="005805C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>Imperative verbs</w:t>
            </w:r>
            <w:r w:rsidRPr="005805C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805C9" w:rsidRPr="005805C9" w:rsidRDefault="005805C9" w:rsidP="005805C9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805C9">
              <w:rPr>
                <w:rFonts w:ascii="Arial" w:eastAsia="Arial" w:hAnsi="Arial" w:cs="Arial"/>
                <w:sz w:val="14"/>
              </w:rPr>
              <w:t>Bullet points</w:t>
            </w:r>
            <w:r w:rsidRPr="005805C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805C9" w:rsidRDefault="005805C9" w:rsidP="005805C9">
            <w:pPr>
              <w:pStyle w:val="ListParagraph"/>
              <w:numPr>
                <w:ilvl w:val="0"/>
                <w:numId w:val="22"/>
              </w:numPr>
            </w:pPr>
            <w:r w:rsidRPr="005805C9">
              <w:rPr>
                <w:rFonts w:ascii="Arial" w:eastAsia="Arial" w:hAnsi="Arial" w:cs="Arial"/>
                <w:sz w:val="14"/>
              </w:rPr>
              <w:t>Sub-heading</w:t>
            </w:r>
          </w:p>
        </w:tc>
      </w:tr>
    </w:tbl>
    <w:p w:rsidR="008172C4" w:rsidRDefault="008172C4"/>
    <w:sectPr w:rsidR="008172C4" w:rsidSect="00992E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E7B"/>
    <w:multiLevelType w:val="hybridMultilevel"/>
    <w:tmpl w:val="B80A00E2"/>
    <w:lvl w:ilvl="0" w:tplc="220817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8888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7618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B07D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C83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28B1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56AB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44A5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6227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E582A"/>
    <w:multiLevelType w:val="hybridMultilevel"/>
    <w:tmpl w:val="1BC0D436"/>
    <w:lvl w:ilvl="0" w:tplc="B7EC610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95E7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DA51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9EB3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C1EEE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5882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0008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8B663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C2AF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24CAE"/>
    <w:multiLevelType w:val="hybridMultilevel"/>
    <w:tmpl w:val="08DC5962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7657"/>
    <w:multiLevelType w:val="hybridMultilevel"/>
    <w:tmpl w:val="62388EF8"/>
    <w:lvl w:ilvl="0" w:tplc="46024D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CE633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6629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C86E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6C497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4D2EB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2C2F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3A57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31C21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C5E09"/>
    <w:multiLevelType w:val="hybridMultilevel"/>
    <w:tmpl w:val="7DE676D6"/>
    <w:lvl w:ilvl="0" w:tplc="75B647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D854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7D2BF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674F0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0CA42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427A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F687C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EAC9A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B060F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7340D"/>
    <w:multiLevelType w:val="hybridMultilevel"/>
    <w:tmpl w:val="1612FE48"/>
    <w:lvl w:ilvl="0" w:tplc="D110D32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25E4"/>
    <w:multiLevelType w:val="hybridMultilevel"/>
    <w:tmpl w:val="A0A8FCF6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77E"/>
    <w:multiLevelType w:val="hybridMultilevel"/>
    <w:tmpl w:val="45903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5BF0"/>
    <w:multiLevelType w:val="hybridMultilevel"/>
    <w:tmpl w:val="79C61EDA"/>
    <w:lvl w:ilvl="0" w:tplc="02EEC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6CF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75A26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BCF4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FE76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4092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F6C8C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7BA8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1EC9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BF3CFD"/>
    <w:multiLevelType w:val="hybridMultilevel"/>
    <w:tmpl w:val="126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0773B"/>
    <w:multiLevelType w:val="hybridMultilevel"/>
    <w:tmpl w:val="A3569B84"/>
    <w:lvl w:ilvl="0" w:tplc="88B2970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8EA5D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0F298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402D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34F4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F8C09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D7461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F4AE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2A3F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2C787F"/>
    <w:multiLevelType w:val="hybridMultilevel"/>
    <w:tmpl w:val="E3305DE8"/>
    <w:lvl w:ilvl="0" w:tplc="203E50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8AF2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8BE2A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6225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9669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C890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640B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DA5C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CE6E1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30303E"/>
    <w:multiLevelType w:val="hybridMultilevel"/>
    <w:tmpl w:val="078E499A"/>
    <w:lvl w:ilvl="0" w:tplc="F1F2563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98B1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E2E6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AA615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3368E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D2DA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F3428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0980F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BC8F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43DA"/>
    <w:multiLevelType w:val="hybridMultilevel"/>
    <w:tmpl w:val="98B4CFEE"/>
    <w:lvl w:ilvl="0" w:tplc="858EFA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0A39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64AD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2448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6C4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0A74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A69C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148C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3E12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302FDE"/>
    <w:multiLevelType w:val="hybridMultilevel"/>
    <w:tmpl w:val="1F3E0E94"/>
    <w:lvl w:ilvl="0" w:tplc="85F0DF8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54E8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222F1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D8AD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240C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E026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5611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2C285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60D8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A39B5"/>
    <w:multiLevelType w:val="hybridMultilevel"/>
    <w:tmpl w:val="21A89AAE"/>
    <w:lvl w:ilvl="0" w:tplc="736A487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A2637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7FE19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DA04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3E4BC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50CD8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7EE91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74D3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40F0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F239E3"/>
    <w:multiLevelType w:val="hybridMultilevel"/>
    <w:tmpl w:val="FAFAE8CA"/>
    <w:lvl w:ilvl="0" w:tplc="1B0C05B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26C8D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AE2EE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7D8E4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BA67C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AF276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874E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FC25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7C9B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A17855"/>
    <w:multiLevelType w:val="hybridMultilevel"/>
    <w:tmpl w:val="3D789AF2"/>
    <w:lvl w:ilvl="0" w:tplc="A8C4C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868E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828C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6C79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93677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8818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B5835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87C7F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43EFE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B68FA"/>
    <w:multiLevelType w:val="hybridMultilevel"/>
    <w:tmpl w:val="1AF0D478"/>
    <w:lvl w:ilvl="0" w:tplc="BB820A02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F66A25E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7841290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3EF20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9BE7234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7A638E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330E524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34E3D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7C67C4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9F3B38"/>
    <w:multiLevelType w:val="hybridMultilevel"/>
    <w:tmpl w:val="4576507E"/>
    <w:lvl w:ilvl="0" w:tplc="5CE66190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42553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5AC82E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AE21A8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9ACC8A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1C5046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EF934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5E3902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A48D40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434E59"/>
    <w:multiLevelType w:val="hybridMultilevel"/>
    <w:tmpl w:val="C98A28B2"/>
    <w:lvl w:ilvl="0" w:tplc="B9326CB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F2F7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FE5C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842A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DD6E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F88C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CBEFB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9E682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678EE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07308F"/>
    <w:multiLevelType w:val="hybridMultilevel"/>
    <w:tmpl w:val="24589650"/>
    <w:lvl w:ilvl="0" w:tplc="0A70B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E040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2058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B061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B6B0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C73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E86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D230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880A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11"/>
  </w:num>
  <w:num w:numId="7">
    <w:abstractNumId w:val="21"/>
  </w:num>
  <w:num w:numId="8">
    <w:abstractNumId w:val="10"/>
  </w:num>
  <w:num w:numId="9">
    <w:abstractNumId w:val="20"/>
  </w:num>
  <w:num w:numId="10">
    <w:abstractNumId w:val="9"/>
  </w:num>
  <w:num w:numId="11">
    <w:abstractNumId w:val="5"/>
  </w:num>
  <w:num w:numId="12">
    <w:abstractNumId w:val="17"/>
  </w:num>
  <w:num w:numId="13">
    <w:abstractNumId w:val="1"/>
  </w:num>
  <w:num w:numId="14">
    <w:abstractNumId w:val="18"/>
  </w:num>
  <w:num w:numId="15">
    <w:abstractNumId w:val="3"/>
  </w:num>
  <w:num w:numId="16">
    <w:abstractNumId w:val="16"/>
  </w:num>
  <w:num w:numId="17">
    <w:abstractNumId w:val="7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F"/>
    <w:rsid w:val="005805C9"/>
    <w:rsid w:val="008172C4"/>
    <w:rsid w:val="00912731"/>
    <w:rsid w:val="00992E5F"/>
    <w:rsid w:val="00A27B61"/>
    <w:rsid w:val="00A35494"/>
    <w:rsid w:val="00BE18FE"/>
    <w:rsid w:val="00E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BEDD-EC16-4AD7-B742-7D951A3D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Halford</dc:creator>
  <cp:keywords/>
  <dc:description/>
  <cp:lastModifiedBy>Hazell</cp:lastModifiedBy>
  <cp:revision>2</cp:revision>
  <dcterms:created xsi:type="dcterms:W3CDTF">2023-09-13T19:20:00Z</dcterms:created>
  <dcterms:modified xsi:type="dcterms:W3CDTF">2023-09-13T19:20:00Z</dcterms:modified>
</cp:coreProperties>
</file>